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i/>
          <w:sz w:val="40"/>
          <w:szCs w:val="40"/>
          <w:lang w:eastAsia="en-US"/>
        </w:rPr>
        <w:id w:val="-46088313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i w:val="0"/>
        </w:rPr>
      </w:sdtEndPr>
      <w:sdtContent>
        <w:tbl>
          <w:tblPr>
            <w:tblpPr w:leftFromText="187" w:rightFromText="187" w:vertAnchor="page" w:horzAnchor="margin" w:tblpXSpec="center" w:tblpY="4996"/>
            <w:tblW w:w="4006" w:type="pct"/>
            <w:tblInd w:w="-7" w:type="dxa"/>
            <w:tblBorders>
              <w:left w:val="single" w:sz="18" w:space="0" w:color="632423" w:themeColor="accent2" w:themeShade="80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124F21" w:rsidRPr="00124F21" w:rsidTr="008509BF">
            <w:tc>
              <w:tcPr>
                <w:tcW w:w="7672" w:type="dxa"/>
              </w:tcPr>
              <w:p w:rsidR="00E060F2" w:rsidRPr="00124F21" w:rsidRDefault="00E060F2" w:rsidP="00994F24">
                <w:pPr>
                  <w:pStyle w:val="NoSpacing"/>
                  <w:spacing w:line="360" w:lineRule="auto"/>
                  <w:rPr>
                    <w:rFonts w:eastAsiaTheme="majorEastAsia" w:cstheme="majorBidi"/>
                    <w:b/>
                    <w:i/>
                    <w:sz w:val="40"/>
                    <w:szCs w:val="40"/>
                  </w:rPr>
                </w:pPr>
                <w:r w:rsidRPr="00124F21">
                  <w:rPr>
                    <w:rFonts w:asciiTheme="majorHAnsi" w:eastAsiaTheme="majorEastAsia" w:hAnsiTheme="majorHAnsi" w:cstheme="majorBidi"/>
                    <w:b/>
                    <w:i/>
                    <w:sz w:val="40"/>
                    <w:szCs w:val="40"/>
                  </w:rPr>
                  <w:t xml:space="preserve">Securing SQL Server </w:t>
                </w:r>
              </w:p>
            </w:tc>
          </w:tr>
          <w:tr w:rsidR="008509BF" w:rsidRPr="00124F21" w:rsidTr="008509B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ajorHAnsi" w:hAnsiTheme="majorHAnsi"/>
                    <w:b/>
                    <w:sz w:val="28"/>
                    <w:szCs w:val="28"/>
                  </w:rPr>
                  <w:alias w:val="Author"/>
                  <w:id w:val="13406928"/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8509BF" w:rsidRPr="00D010A0" w:rsidRDefault="00D0662B" w:rsidP="00D0662B">
                    <w:pPr>
                      <w:pStyle w:val="NoSpacing"/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    </w:t>
                    </w:r>
                  </w:p>
                </w:sdtContent>
              </w:sdt>
            </w:tc>
          </w:tr>
        </w:tbl>
        <w:p w:rsidR="00E060F2" w:rsidRPr="00B4033C" w:rsidRDefault="00E060F2" w:rsidP="00994F24">
          <w:pPr>
            <w:spacing w:line="360" w:lineRule="auto"/>
            <w:jc w:val="center"/>
            <w:rPr>
              <w:sz w:val="40"/>
              <w:szCs w:val="40"/>
            </w:rPr>
          </w:pPr>
        </w:p>
        <w:p w:rsidR="00E060F2" w:rsidRPr="00B4033C" w:rsidRDefault="00E060F2" w:rsidP="00994F24">
          <w:pPr>
            <w:spacing w:line="360" w:lineRule="auto"/>
            <w:jc w:val="center"/>
            <w:rPr>
              <w:sz w:val="40"/>
              <w:szCs w:val="40"/>
            </w:rPr>
          </w:pPr>
        </w:p>
        <w:p w:rsidR="00E060F2" w:rsidRPr="00B4033C" w:rsidRDefault="00E060F2" w:rsidP="00994F24">
          <w:pPr>
            <w:spacing w:line="360" w:lineRule="auto"/>
            <w:rPr>
              <w:sz w:val="40"/>
              <w:szCs w:val="40"/>
            </w:rPr>
          </w:pPr>
          <w:r w:rsidRPr="00B4033C">
            <w:rPr>
              <w:sz w:val="40"/>
              <w:szCs w:val="40"/>
            </w:rPr>
            <w:br w:type="page"/>
          </w:r>
        </w:p>
      </w:sdtContent>
    </w:sdt>
    <w:p w:rsidR="00E02F8B" w:rsidRPr="005101D4" w:rsidRDefault="00841FDF" w:rsidP="00994F24">
      <w:pPr>
        <w:spacing w:line="360" w:lineRule="auto"/>
        <w:rPr>
          <w:sz w:val="24"/>
          <w:szCs w:val="24"/>
        </w:rPr>
      </w:pPr>
      <w:r w:rsidRPr="005101D4">
        <w:rPr>
          <w:sz w:val="24"/>
          <w:szCs w:val="24"/>
        </w:rPr>
        <w:lastRenderedPageBreak/>
        <w:t xml:space="preserve">Data breaches have been reported in all industries, from </w:t>
      </w:r>
      <w:r w:rsidR="00914254">
        <w:rPr>
          <w:sz w:val="24"/>
          <w:szCs w:val="24"/>
        </w:rPr>
        <w:t xml:space="preserve">education to </w:t>
      </w:r>
      <w:r w:rsidR="00914254" w:rsidRPr="005101D4">
        <w:rPr>
          <w:sz w:val="24"/>
          <w:szCs w:val="24"/>
        </w:rPr>
        <w:t>healthcare</w:t>
      </w:r>
      <w:r w:rsidRPr="005101D4">
        <w:rPr>
          <w:sz w:val="24"/>
          <w:szCs w:val="24"/>
        </w:rPr>
        <w:t xml:space="preserve"> to </w:t>
      </w:r>
      <w:r w:rsidR="00273AD4" w:rsidRPr="005101D4">
        <w:rPr>
          <w:sz w:val="24"/>
          <w:szCs w:val="24"/>
        </w:rPr>
        <w:t>finance</w:t>
      </w:r>
      <w:r w:rsidR="00E02F8B" w:rsidRPr="005101D4">
        <w:rPr>
          <w:sz w:val="24"/>
          <w:szCs w:val="24"/>
        </w:rPr>
        <w:t xml:space="preserve">. Database security </w:t>
      </w:r>
      <w:r w:rsidR="002E485F" w:rsidRPr="005101D4">
        <w:rPr>
          <w:sz w:val="24"/>
          <w:szCs w:val="24"/>
        </w:rPr>
        <w:t xml:space="preserve">did not take priority in the </w:t>
      </w:r>
      <w:r w:rsidR="00914254" w:rsidRPr="005101D4">
        <w:rPr>
          <w:sz w:val="24"/>
          <w:szCs w:val="24"/>
        </w:rPr>
        <w:t>enterprise IT</w:t>
      </w:r>
      <w:r w:rsidR="00846EB3" w:rsidRPr="005101D4">
        <w:rPr>
          <w:sz w:val="24"/>
          <w:szCs w:val="24"/>
        </w:rPr>
        <w:t xml:space="preserve"> </w:t>
      </w:r>
      <w:r w:rsidR="007511DA" w:rsidRPr="005101D4">
        <w:rPr>
          <w:sz w:val="24"/>
          <w:szCs w:val="24"/>
        </w:rPr>
        <w:t>security plans</w:t>
      </w:r>
      <w:r w:rsidR="00273AD4" w:rsidRPr="005101D4">
        <w:rPr>
          <w:sz w:val="24"/>
          <w:szCs w:val="24"/>
        </w:rPr>
        <w:t xml:space="preserve"> until a few years ago</w:t>
      </w:r>
      <w:r w:rsidR="00EB19D4">
        <w:rPr>
          <w:sz w:val="24"/>
          <w:szCs w:val="24"/>
        </w:rPr>
        <w:t>,</w:t>
      </w:r>
      <w:r w:rsidR="00273AD4" w:rsidRPr="005101D4">
        <w:rPr>
          <w:sz w:val="24"/>
          <w:szCs w:val="24"/>
        </w:rPr>
        <w:t xml:space="preserve"> </w:t>
      </w:r>
      <w:r w:rsidR="00EB19D4">
        <w:rPr>
          <w:sz w:val="24"/>
          <w:szCs w:val="24"/>
        </w:rPr>
        <w:t>when</w:t>
      </w:r>
      <w:r w:rsidR="00D360F1">
        <w:rPr>
          <w:sz w:val="24"/>
          <w:szCs w:val="24"/>
        </w:rPr>
        <w:t xml:space="preserve"> a</w:t>
      </w:r>
      <w:r w:rsidR="00846EB3" w:rsidRPr="005101D4">
        <w:rPr>
          <w:sz w:val="24"/>
          <w:szCs w:val="24"/>
        </w:rPr>
        <w:t xml:space="preserve"> series of </w:t>
      </w:r>
      <w:r w:rsidR="00273AD4" w:rsidRPr="005101D4">
        <w:rPr>
          <w:sz w:val="24"/>
          <w:szCs w:val="24"/>
        </w:rPr>
        <w:t xml:space="preserve">database </w:t>
      </w:r>
      <w:r w:rsidR="006B4811" w:rsidRPr="005101D4">
        <w:rPr>
          <w:sz w:val="24"/>
          <w:szCs w:val="24"/>
        </w:rPr>
        <w:t>breaches exposed private</w:t>
      </w:r>
      <w:r w:rsidR="00273AD4" w:rsidRPr="005101D4">
        <w:rPr>
          <w:sz w:val="24"/>
          <w:szCs w:val="24"/>
        </w:rPr>
        <w:t xml:space="preserve"> consumer </w:t>
      </w:r>
      <w:r w:rsidR="006B4811" w:rsidRPr="005101D4">
        <w:rPr>
          <w:sz w:val="24"/>
          <w:szCs w:val="24"/>
        </w:rPr>
        <w:t xml:space="preserve">information </w:t>
      </w:r>
      <w:r w:rsidR="00914254">
        <w:rPr>
          <w:sz w:val="24"/>
          <w:szCs w:val="24"/>
        </w:rPr>
        <w:t>to</w:t>
      </w:r>
      <w:r w:rsidR="00273AD4" w:rsidRPr="005101D4">
        <w:rPr>
          <w:sz w:val="24"/>
          <w:szCs w:val="24"/>
        </w:rPr>
        <w:t xml:space="preserve"> public domain putting </w:t>
      </w:r>
      <w:r w:rsidR="00914254">
        <w:rPr>
          <w:sz w:val="24"/>
          <w:szCs w:val="24"/>
        </w:rPr>
        <w:t>their customers’</w:t>
      </w:r>
      <w:r w:rsidR="00273AD4" w:rsidRPr="005101D4">
        <w:rPr>
          <w:sz w:val="24"/>
          <w:szCs w:val="24"/>
        </w:rPr>
        <w:t xml:space="preserve"> financial, education</w:t>
      </w:r>
      <w:r w:rsidR="00914254">
        <w:rPr>
          <w:sz w:val="24"/>
          <w:szCs w:val="24"/>
        </w:rPr>
        <w:t>al</w:t>
      </w:r>
      <w:r w:rsidR="00273AD4" w:rsidRPr="005101D4">
        <w:rPr>
          <w:sz w:val="24"/>
          <w:szCs w:val="24"/>
        </w:rPr>
        <w:t xml:space="preserve"> and </w:t>
      </w:r>
      <w:r w:rsidR="00B232F5" w:rsidRPr="005101D4">
        <w:rPr>
          <w:sz w:val="24"/>
          <w:szCs w:val="24"/>
        </w:rPr>
        <w:t xml:space="preserve">health records </w:t>
      </w:r>
      <w:r w:rsidR="006B4811" w:rsidRPr="005101D4">
        <w:rPr>
          <w:sz w:val="24"/>
          <w:szCs w:val="24"/>
        </w:rPr>
        <w:t>at risk.</w:t>
      </w:r>
    </w:p>
    <w:p w:rsidR="004F2910" w:rsidRPr="005101D4" w:rsidRDefault="000B4E09" w:rsidP="00994F24">
      <w:pPr>
        <w:spacing w:line="360" w:lineRule="auto"/>
        <w:rPr>
          <w:sz w:val="24"/>
          <w:szCs w:val="24"/>
        </w:rPr>
      </w:pPr>
      <w:r w:rsidRPr="005101D4">
        <w:rPr>
          <w:sz w:val="24"/>
          <w:szCs w:val="24"/>
        </w:rPr>
        <w:t>Organizations</w:t>
      </w:r>
      <w:r w:rsidR="00A805EC" w:rsidRPr="005101D4">
        <w:rPr>
          <w:sz w:val="24"/>
          <w:szCs w:val="24"/>
        </w:rPr>
        <w:t xml:space="preserve"> have now started</w:t>
      </w:r>
      <w:r w:rsidR="00846EB3" w:rsidRPr="005101D4">
        <w:rPr>
          <w:sz w:val="24"/>
          <w:szCs w:val="24"/>
        </w:rPr>
        <w:t xml:space="preserve"> </w:t>
      </w:r>
      <w:r w:rsidR="007C12DF" w:rsidRPr="005101D4">
        <w:rPr>
          <w:sz w:val="24"/>
          <w:szCs w:val="24"/>
        </w:rPr>
        <w:t>putting more</w:t>
      </w:r>
      <w:r w:rsidR="00846EB3" w:rsidRPr="005101D4">
        <w:rPr>
          <w:sz w:val="24"/>
          <w:szCs w:val="24"/>
        </w:rPr>
        <w:t xml:space="preserve"> effort in securing their </w:t>
      </w:r>
      <w:r w:rsidR="00A805EC" w:rsidRPr="005101D4">
        <w:rPr>
          <w:sz w:val="24"/>
          <w:szCs w:val="24"/>
        </w:rPr>
        <w:t>data servers from</w:t>
      </w:r>
      <w:r w:rsidR="00846EB3" w:rsidRPr="005101D4">
        <w:rPr>
          <w:sz w:val="24"/>
          <w:szCs w:val="24"/>
        </w:rPr>
        <w:t xml:space="preserve"> </w:t>
      </w:r>
      <w:r w:rsidR="007C12DF" w:rsidRPr="005101D4">
        <w:rPr>
          <w:sz w:val="24"/>
          <w:szCs w:val="24"/>
        </w:rPr>
        <w:t>intrusion</w:t>
      </w:r>
      <w:r w:rsidR="00EC0F17">
        <w:rPr>
          <w:sz w:val="24"/>
          <w:szCs w:val="24"/>
        </w:rPr>
        <w:t>s</w:t>
      </w:r>
      <w:r w:rsidR="00846EB3" w:rsidRPr="005101D4">
        <w:rPr>
          <w:sz w:val="24"/>
          <w:szCs w:val="24"/>
        </w:rPr>
        <w:t>.</w:t>
      </w:r>
      <w:r w:rsidR="000F194B" w:rsidRPr="005101D4">
        <w:rPr>
          <w:sz w:val="24"/>
          <w:szCs w:val="24"/>
        </w:rPr>
        <w:t xml:space="preserve"> </w:t>
      </w:r>
      <w:r w:rsidR="00A805EC" w:rsidRPr="005101D4">
        <w:rPr>
          <w:sz w:val="24"/>
          <w:szCs w:val="24"/>
        </w:rPr>
        <w:t xml:space="preserve"> </w:t>
      </w:r>
      <w:r w:rsidR="0087413D" w:rsidRPr="005101D4">
        <w:rPr>
          <w:sz w:val="24"/>
          <w:szCs w:val="24"/>
        </w:rPr>
        <w:t>This is</w:t>
      </w:r>
      <w:r w:rsidR="008A7FBF" w:rsidRPr="005101D4">
        <w:rPr>
          <w:sz w:val="24"/>
          <w:szCs w:val="24"/>
        </w:rPr>
        <w:t xml:space="preserve"> </w:t>
      </w:r>
      <w:r w:rsidR="00914254">
        <w:rPr>
          <w:sz w:val="24"/>
          <w:szCs w:val="24"/>
        </w:rPr>
        <w:t>not only</w:t>
      </w:r>
      <w:r w:rsidR="00EC0F17">
        <w:rPr>
          <w:sz w:val="24"/>
          <w:szCs w:val="24"/>
        </w:rPr>
        <w:t xml:space="preserve"> done</w:t>
      </w:r>
      <w:r w:rsidR="00914254">
        <w:rPr>
          <w:sz w:val="24"/>
          <w:szCs w:val="24"/>
        </w:rPr>
        <w:t xml:space="preserve"> to</w:t>
      </w:r>
      <w:r w:rsidR="0087413D" w:rsidRPr="005101D4">
        <w:rPr>
          <w:sz w:val="24"/>
          <w:szCs w:val="24"/>
        </w:rPr>
        <w:t xml:space="preserve"> </w:t>
      </w:r>
      <w:r w:rsidR="00EC0F17">
        <w:rPr>
          <w:sz w:val="24"/>
          <w:szCs w:val="24"/>
        </w:rPr>
        <w:t xml:space="preserve">protect </w:t>
      </w:r>
      <w:r w:rsidR="008A7FBF" w:rsidRPr="005101D4">
        <w:rPr>
          <w:sz w:val="24"/>
          <w:szCs w:val="24"/>
        </w:rPr>
        <w:t xml:space="preserve">sensitive </w:t>
      </w:r>
      <w:r w:rsidR="00914254">
        <w:rPr>
          <w:sz w:val="24"/>
          <w:szCs w:val="24"/>
        </w:rPr>
        <w:t xml:space="preserve">customer </w:t>
      </w:r>
      <w:r w:rsidR="008A7FBF" w:rsidRPr="005101D4">
        <w:rPr>
          <w:sz w:val="24"/>
          <w:szCs w:val="24"/>
        </w:rPr>
        <w:t>data,</w:t>
      </w:r>
      <w:r w:rsidR="0087413D" w:rsidRPr="005101D4">
        <w:rPr>
          <w:sz w:val="24"/>
          <w:szCs w:val="24"/>
        </w:rPr>
        <w:t xml:space="preserve"> but also</w:t>
      </w:r>
      <w:r w:rsidR="008A7FBF" w:rsidRPr="005101D4">
        <w:rPr>
          <w:sz w:val="24"/>
          <w:szCs w:val="24"/>
        </w:rPr>
        <w:t xml:space="preserve"> to comply with</w:t>
      </w:r>
      <w:r w:rsidR="007B7216" w:rsidRPr="005101D4">
        <w:rPr>
          <w:sz w:val="24"/>
          <w:szCs w:val="24"/>
        </w:rPr>
        <w:t xml:space="preserve"> data protection</w:t>
      </w:r>
      <w:r w:rsidR="008A7FBF" w:rsidRPr="005101D4">
        <w:rPr>
          <w:sz w:val="24"/>
          <w:szCs w:val="24"/>
        </w:rPr>
        <w:t xml:space="preserve"> laws like</w:t>
      </w:r>
      <w:r w:rsidR="00404DBC">
        <w:rPr>
          <w:sz w:val="24"/>
          <w:szCs w:val="24"/>
        </w:rPr>
        <w:t xml:space="preserve">, </w:t>
      </w:r>
      <w:r w:rsidR="00404DBC" w:rsidRPr="005101D4">
        <w:rPr>
          <w:sz w:val="24"/>
          <w:szCs w:val="24"/>
        </w:rPr>
        <w:t>The</w:t>
      </w:r>
      <w:r w:rsidR="008A7FBF" w:rsidRPr="005101D4">
        <w:rPr>
          <w:sz w:val="24"/>
          <w:szCs w:val="24"/>
          <w:lang w:val="en"/>
        </w:rPr>
        <w:t xml:space="preserve"> Health Insurance Portability and Accountability Act (</w:t>
      </w:r>
      <w:r w:rsidR="008A7FBF" w:rsidRPr="005101D4">
        <w:rPr>
          <w:sz w:val="24"/>
          <w:szCs w:val="24"/>
        </w:rPr>
        <w:t>HIPPA), Sarbanes Oxley (SOX</w:t>
      </w:r>
      <w:r w:rsidR="0014141B" w:rsidRPr="005101D4">
        <w:rPr>
          <w:sz w:val="24"/>
          <w:szCs w:val="24"/>
        </w:rPr>
        <w:t>) and</w:t>
      </w:r>
      <w:r w:rsidR="008A7FBF" w:rsidRPr="005101D4">
        <w:rPr>
          <w:sz w:val="24"/>
          <w:szCs w:val="24"/>
        </w:rPr>
        <w:t xml:space="preserve"> </w:t>
      </w:r>
      <w:r w:rsidR="008A7FBF" w:rsidRPr="005101D4">
        <w:rPr>
          <w:sz w:val="24"/>
          <w:szCs w:val="24"/>
          <w:lang w:val="en"/>
        </w:rPr>
        <w:t>The Gramm-Leach-Bliley Act (</w:t>
      </w:r>
      <w:r w:rsidR="0014141B" w:rsidRPr="005101D4">
        <w:rPr>
          <w:sz w:val="24"/>
          <w:szCs w:val="24"/>
        </w:rPr>
        <w:t>GLB)</w:t>
      </w:r>
      <w:sdt>
        <w:sdtPr>
          <w:rPr>
            <w:sz w:val="24"/>
            <w:szCs w:val="24"/>
          </w:rPr>
          <w:id w:val="-741640936"/>
          <w:citation/>
        </w:sdtPr>
        <w:sdtEndPr/>
        <w:sdtContent>
          <w:r w:rsidR="000501AD" w:rsidRPr="005101D4">
            <w:rPr>
              <w:sz w:val="24"/>
              <w:szCs w:val="24"/>
            </w:rPr>
            <w:fldChar w:fldCharType="begin"/>
          </w:r>
          <w:r w:rsidR="000501AD" w:rsidRPr="005101D4">
            <w:rPr>
              <w:sz w:val="24"/>
              <w:szCs w:val="24"/>
            </w:rPr>
            <w:instrText xml:space="preserve"> CITATION Deb05 \l 1033 </w:instrText>
          </w:r>
          <w:r w:rsidR="000501AD" w:rsidRPr="005101D4">
            <w:rPr>
              <w:sz w:val="24"/>
              <w:szCs w:val="24"/>
            </w:rPr>
            <w:fldChar w:fldCharType="separate"/>
          </w:r>
          <w:r w:rsidR="00B211B7">
            <w:rPr>
              <w:noProof/>
              <w:sz w:val="24"/>
              <w:szCs w:val="24"/>
            </w:rPr>
            <w:t xml:space="preserve"> </w:t>
          </w:r>
          <w:r w:rsidR="00B211B7" w:rsidRPr="00B211B7">
            <w:rPr>
              <w:noProof/>
              <w:sz w:val="24"/>
              <w:szCs w:val="24"/>
            </w:rPr>
            <w:t>[1]</w:t>
          </w:r>
          <w:r w:rsidR="000501AD" w:rsidRPr="005101D4">
            <w:rPr>
              <w:sz w:val="24"/>
              <w:szCs w:val="24"/>
            </w:rPr>
            <w:fldChar w:fldCharType="end"/>
          </w:r>
        </w:sdtContent>
      </w:sdt>
      <w:r w:rsidR="0087413D" w:rsidRPr="005101D4">
        <w:rPr>
          <w:sz w:val="24"/>
          <w:szCs w:val="24"/>
        </w:rPr>
        <w:t xml:space="preserve"> </w:t>
      </w:r>
      <w:r w:rsidR="008A7FBF" w:rsidRPr="005101D4">
        <w:rPr>
          <w:sz w:val="24"/>
          <w:szCs w:val="24"/>
        </w:rPr>
        <w:t>.</w:t>
      </w:r>
      <w:r w:rsidR="00A43DCD" w:rsidRPr="005101D4">
        <w:rPr>
          <w:sz w:val="24"/>
          <w:szCs w:val="24"/>
        </w:rPr>
        <w:t xml:space="preserve"> A survey conducted </w:t>
      </w:r>
      <w:r w:rsidR="0087413D" w:rsidRPr="005101D4">
        <w:rPr>
          <w:sz w:val="24"/>
          <w:szCs w:val="24"/>
        </w:rPr>
        <w:t xml:space="preserve"> </w:t>
      </w:r>
      <w:r w:rsidR="00A82E94" w:rsidRPr="005101D4">
        <w:rPr>
          <w:sz w:val="24"/>
          <w:szCs w:val="24"/>
        </w:rPr>
        <w:t xml:space="preserve"> </w:t>
      </w:r>
      <w:r w:rsidR="00A43DCD" w:rsidRPr="005101D4">
        <w:rPr>
          <w:sz w:val="24"/>
          <w:szCs w:val="24"/>
        </w:rPr>
        <w:t xml:space="preserve">by </w:t>
      </w:r>
      <w:r w:rsidR="00914254" w:rsidRPr="005101D4">
        <w:rPr>
          <w:sz w:val="24"/>
          <w:szCs w:val="24"/>
        </w:rPr>
        <w:t xml:space="preserve">InformationWeek </w:t>
      </w:r>
      <w:r w:rsidR="00914254">
        <w:rPr>
          <w:sz w:val="24"/>
          <w:szCs w:val="24"/>
        </w:rPr>
        <w:t xml:space="preserve">in 2010 </w:t>
      </w:r>
      <w:r w:rsidR="00A43DCD" w:rsidRPr="005101D4">
        <w:rPr>
          <w:sz w:val="24"/>
          <w:szCs w:val="24"/>
        </w:rPr>
        <w:t>showed that 70% of the organizations have database security assessment programs in place</w:t>
      </w:r>
      <w:sdt>
        <w:sdtPr>
          <w:rPr>
            <w:sz w:val="24"/>
            <w:szCs w:val="24"/>
          </w:rPr>
          <w:id w:val="-1448533067"/>
          <w:citation/>
        </w:sdtPr>
        <w:sdtEndPr/>
        <w:sdtContent>
          <w:r w:rsidR="003C5627" w:rsidRPr="005101D4">
            <w:rPr>
              <w:sz w:val="24"/>
              <w:szCs w:val="24"/>
            </w:rPr>
            <w:fldChar w:fldCharType="begin"/>
          </w:r>
          <w:r w:rsidR="003C5627" w:rsidRPr="005101D4">
            <w:rPr>
              <w:sz w:val="24"/>
              <w:szCs w:val="24"/>
            </w:rPr>
            <w:instrText xml:space="preserve"> CITATION Deb11 \l 1033 </w:instrText>
          </w:r>
          <w:r w:rsidR="003C5627" w:rsidRPr="005101D4">
            <w:rPr>
              <w:sz w:val="24"/>
              <w:szCs w:val="24"/>
            </w:rPr>
            <w:fldChar w:fldCharType="separate"/>
          </w:r>
          <w:r w:rsidR="00B211B7">
            <w:rPr>
              <w:noProof/>
              <w:sz w:val="24"/>
              <w:szCs w:val="24"/>
            </w:rPr>
            <w:t xml:space="preserve"> </w:t>
          </w:r>
          <w:r w:rsidR="00B211B7" w:rsidRPr="00B211B7">
            <w:rPr>
              <w:noProof/>
              <w:sz w:val="24"/>
              <w:szCs w:val="24"/>
            </w:rPr>
            <w:t>[2]</w:t>
          </w:r>
          <w:r w:rsidR="003C5627" w:rsidRPr="005101D4">
            <w:rPr>
              <w:sz w:val="24"/>
              <w:szCs w:val="24"/>
            </w:rPr>
            <w:fldChar w:fldCharType="end"/>
          </w:r>
        </w:sdtContent>
      </w:sdt>
      <w:r w:rsidR="00A43DCD" w:rsidRPr="005101D4">
        <w:rPr>
          <w:sz w:val="24"/>
          <w:szCs w:val="24"/>
        </w:rPr>
        <w:t xml:space="preserve">.    </w:t>
      </w:r>
      <w:r w:rsidR="00A805EC" w:rsidRPr="005101D4">
        <w:rPr>
          <w:sz w:val="24"/>
          <w:szCs w:val="24"/>
        </w:rPr>
        <w:t xml:space="preserve">According to </w:t>
      </w:r>
      <w:hyperlink r:id="rId10" w:history="1">
        <w:r w:rsidR="00A805EC" w:rsidRPr="005101D4">
          <w:rPr>
            <w:rStyle w:val="Hyperlink"/>
            <w:sz w:val="24"/>
            <w:szCs w:val="24"/>
          </w:rPr>
          <w:t>www.privacyrights.org</w:t>
        </w:r>
      </w:hyperlink>
      <w:r w:rsidR="00A805EC" w:rsidRPr="005101D4">
        <w:rPr>
          <w:sz w:val="24"/>
          <w:szCs w:val="24"/>
        </w:rPr>
        <w:t xml:space="preserve"> , companies have reported 3,385</w:t>
      </w:r>
      <w:r w:rsidR="0034609B" w:rsidRPr="005101D4">
        <w:rPr>
          <w:sz w:val="24"/>
          <w:szCs w:val="24"/>
        </w:rPr>
        <w:t xml:space="preserve"> data breach incidents since</w:t>
      </w:r>
      <w:r w:rsidR="00A805EC" w:rsidRPr="005101D4">
        <w:rPr>
          <w:sz w:val="24"/>
          <w:szCs w:val="24"/>
        </w:rPr>
        <w:t xml:space="preserve"> 2005. These breaches have affected 563,536,722</w:t>
      </w:r>
      <w:r w:rsidR="00AC30F3" w:rsidRPr="005101D4">
        <w:rPr>
          <w:sz w:val="24"/>
          <w:szCs w:val="24"/>
        </w:rPr>
        <w:t xml:space="preserve"> </w:t>
      </w:r>
      <w:r w:rsidR="00A805EC" w:rsidRPr="005101D4">
        <w:rPr>
          <w:sz w:val="24"/>
          <w:szCs w:val="24"/>
        </w:rPr>
        <w:t>records</w:t>
      </w:r>
      <w:sdt>
        <w:sdtPr>
          <w:rPr>
            <w:sz w:val="24"/>
            <w:szCs w:val="24"/>
          </w:rPr>
          <w:id w:val="2037224520"/>
          <w:citation/>
        </w:sdtPr>
        <w:sdtEndPr/>
        <w:sdtContent>
          <w:r w:rsidR="00AC30F3" w:rsidRPr="005101D4">
            <w:rPr>
              <w:sz w:val="24"/>
              <w:szCs w:val="24"/>
            </w:rPr>
            <w:fldChar w:fldCharType="begin"/>
          </w:r>
          <w:r w:rsidR="00AC30F3" w:rsidRPr="005101D4">
            <w:rPr>
              <w:sz w:val="24"/>
              <w:szCs w:val="24"/>
            </w:rPr>
            <w:instrText xml:space="preserve"> CITATION www12 \l 1033 </w:instrText>
          </w:r>
          <w:r w:rsidR="00AC30F3" w:rsidRPr="005101D4">
            <w:rPr>
              <w:sz w:val="24"/>
              <w:szCs w:val="24"/>
            </w:rPr>
            <w:fldChar w:fldCharType="separate"/>
          </w:r>
          <w:r w:rsidR="00B211B7">
            <w:rPr>
              <w:noProof/>
              <w:sz w:val="24"/>
              <w:szCs w:val="24"/>
            </w:rPr>
            <w:t xml:space="preserve"> </w:t>
          </w:r>
          <w:r w:rsidR="00B211B7" w:rsidRPr="00B211B7">
            <w:rPr>
              <w:noProof/>
              <w:sz w:val="24"/>
              <w:szCs w:val="24"/>
            </w:rPr>
            <w:t>[3]</w:t>
          </w:r>
          <w:r w:rsidR="00AC30F3" w:rsidRPr="005101D4">
            <w:rPr>
              <w:sz w:val="24"/>
              <w:szCs w:val="24"/>
            </w:rPr>
            <w:fldChar w:fldCharType="end"/>
          </w:r>
        </w:sdtContent>
      </w:sdt>
      <w:r w:rsidR="004F2910" w:rsidRPr="005101D4">
        <w:rPr>
          <w:sz w:val="24"/>
          <w:szCs w:val="24"/>
        </w:rPr>
        <w:t>.</w:t>
      </w:r>
    </w:p>
    <w:p w:rsidR="00860548" w:rsidRDefault="00A428DE" w:rsidP="00994F24">
      <w:pPr>
        <w:spacing w:line="360" w:lineRule="auto"/>
        <w:rPr>
          <w:sz w:val="24"/>
          <w:szCs w:val="24"/>
        </w:rPr>
      </w:pPr>
      <w:r w:rsidRPr="005101D4">
        <w:rPr>
          <w:sz w:val="24"/>
          <w:szCs w:val="24"/>
        </w:rPr>
        <w:t xml:space="preserve">This paper will </w:t>
      </w:r>
      <w:r w:rsidR="006F09AF" w:rsidRPr="005101D4">
        <w:rPr>
          <w:sz w:val="24"/>
          <w:szCs w:val="24"/>
        </w:rPr>
        <w:t xml:space="preserve">discuss </w:t>
      </w:r>
      <w:r w:rsidR="006F09AF">
        <w:rPr>
          <w:sz w:val="24"/>
          <w:szCs w:val="24"/>
        </w:rPr>
        <w:t xml:space="preserve">various ways to secure </w:t>
      </w:r>
      <w:r w:rsidR="00F10A45" w:rsidRPr="005101D4">
        <w:rPr>
          <w:sz w:val="24"/>
          <w:szCs w:val="24"/>
        </w:rPr>
        <w:t xml:space="preserve">SQL server </w:t>
      </w:r>
      <w:r w:rsidR="006F09AF">
        <w:rPr>
          <w:sz w:val="24"/>
          <w:szCs w:val="24"/>
        </w:rPr>
        <w:t xml:space="preserve">and recommend </w:t>
      </w:r>
      <w:r w:rsidR="009F739E" w:rsidRPr="005101D4">
        <w:rPr>
          <w:sz w:val="24"/>
          <w:szCs w:val="24"/>
        </w:rPr>
        <w:t xml:space="preserve">strategies that can be </w:t>
      </w:r>
      <w:r w:rsidR="000C2096" w:rsidRPr="005101D4">
        <w:rPr>
          <w:sz w:val="24"/>
          <w:szCs w:val="24"/>
        </w:rPr>
        <w:t>implemented to</w:t>
      </w:r>
      <w:r w:rsidR="00F10A45" w:rsidRPr="005101D4">
        <w:rPr>
          <w:sz w:val="24"/>
          <w:szCs w:val="24"/>
        </w:rPr>
        <w:t xml:space="preserve"> </w:t>
      </w:r>
      <w:r w:rsidR="009F739E" w:rsidRPr="005101D4">
        <w:rPr>
          <w:sz w:val="24"/>
          <w:szCs w:val="24"/>
        </w:rPr>
        <w:t xml:space="preserve">secure </w:t>
      </w:r>
      <w:r w:rsidR="00F10A45" w:rsidRPr="005101D4">
        <w:rPr>
          <w:sz w:val="24"/>
          <w:szCs w:val="24"/>
        </w:rPr>
        <w:t>SQL server</w:t>
      </w:r>
      <w:r w:rsidR="00A56E62">
        <w:rPr>
          <w:sz w:val="24"/>
          <w:szCs w:val="24"/>
        </w:rPr>
        <w:t xml:space="preserve"> and prevent data breaches</w:t>
      </w:r>
      <w:r w:rsidR="00F10A45" w:rsidRPr="005101D4">
        <w:rPr>
          <w:sz w:val="24"/>
          <w:szCs w:val="24"/>
        </w:rPr>
        <w:t>.</w:t>
      </w:r>
      <w:r w:rsidR="00A2216B">
        <w:rPr>
          <w:sz w:val="24"/>
          <w:szCs w:val="24"/>
        </w:rPr>
        <w:t xml:space="preserve"> </w:t>
      </w:r>
    </w:p>
    <w:p w:rsidR="008845CF" w:rsidRDefault="00674FA2" w:rsidP="00994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Maintaining secure data servers</w:t>
      </w:r>
      <w:r w:rsidR="00860548">
        <w:rPr>
          <w:sz w:val="24"/>
          <w:szCs w:val="24"/>
        </w:rPr>
        <w:t xml:space="preserve"> through layered security</w:t>
      </w:r>
      <w:r>
        <w:rPr>
          <w:sz w:val="24"/>
          <w:szCs w:val="24"/>
        </w:rPr>
        <w:t xml:space="preserve"> measures</w:t>
      </w:r>
      <w:r w:rsidR="00860548">
        <w:rPr>
          <w:sz w:val="24"/>
          <w:szCs w:val="24"/>
        </w:rPr>
        <w:t xml:space="preserve"> is the approach</w:t>
      </w:r>
      <w:r>
        <w:rPr>
          <w:sz w:val="24"/>
          <w:szCs w:val="24"/>
        </w:rPr>
        <w:t xml:space="preserve"> demonstrated in</w:t>
      </w:r>
      <w:r w:rsidR="00860548">
        <w:rPr>
          <w:sz w:val="24"/>
          <w:szCs w:val="24"/>
        </w:rPr>
        <w:t xml:space="preserve"> this paper.  </w:t>
      </w:r>
    </w:p>
    <w:p w:rsidR="00A2216B" w:rsidRDefault="00A2216B" w:rsidP="00994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 is the proposed outline for this paper:</w:t>
      </w:r>
    </w:p>
    <w:p w:rsidR="00092848" w:rsidRPr="00404EB6" w:rsidRDefault="00404EB6" w:rsidP="00994F24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Abstract</w:t>
      </w:r>
    </w:p>
    <w:p w:rsidR="00783877" w:rsidRDefault="008845CF" w:rsidP="00994F2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History  of </w:t>
      </w:r>
      <w:r w:rsidR="004B1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SQL server </w:t>
      </w:r>
    </w:p>
    <w:p w:rsidR="008845CF" w:rsidRPr="006501E3" w:rsidRDefault="008845CF" w:rsidP="00994F24">
      <w:pPr>
        <w:pStyle w:val="ListParagraph"/>
        <w:numPr>
          <w:ilvl w:val="1"/>
          <w:numId w:val="1"/>
        </w:numPr>
        <w:spacing w:line="360" w:lineRule="auto"/>
        <w:rPr>
          <w:color w:val="FF0000"/>
          <w:sz w:val="24"/>
          <w:szCs w:val="24"/>
        </w:rPr>
      </w:pPr>
      <w:r w:rsidRPr="006501E3">
        <w:rPr>
          <w:color w:val="FF0000"/>
          <w:sz w:val="24"/>
          <w:szCs w:val="24"/>
        </w:rPr>
        <w:t xml:space="preserve">Evolution </w:t>
      </w:r>
      <w:r w:rsidR="00DE0AD9">
        <w:rPr>
          <w:color w:val="FF0000"/>
          <w:sz w:val="24"/>
          <w:szCs w:val="24"/>
        </w:rPr>
        <w:t>in</w:t>
      </w:r>
      <w:r w:rsidRPr="006501E3">
        <w:rPr>
          <w:color w:val="FF0000"/>
          <w:sz w:val="24"/>
          <w:szCs w:val="24"/>
        </w:rPr>
        <w:t xml:space="preserve"> security features</w:t>
      </w:r>
      <w:r w:rsidR="006501E3" w:rsidRPr="006501E3">
        <w:rPr>
          <w:color w:val="FF0000"/>
          <w:sz w:val="24"/>
          <w:szCs w:val="24"/>
        </w:rPr>
        <w:t xml:space="preserve"> (SQL 2000-2012)</w:t>
      </w:r>
    </w:p>
    <w:p w:rsidR="008845CF" w:rsidRDefault="008845CF" w:rsidP="00994F2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secure databases</w:t>
      </w:r>
    </w:p>
    <w:p w:rsidR="008845CF" w:rsidRDefault="00F06F7E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24197">
        <w:rPr>
          <w:sz w:val="24"/>
          <w:szCs w:val="24"/>
        </w:rPr>
        <w:t>void liability of making</w:t>
      </w:r>
      <w:r w:rsidR="008845CF">
        <w:rPr>
          <w:sz w:val="24"/>
          <w:szCs w:val="24"/>
        </w:rPr>
        <w:t xml:space="preserve"> private information</w:t>
      </w:r>
      <w:r w:rsidR="00724197">
        <w:rPr>
          <w:sz w:val="24"/>
          <w:szCs w:val="24"/>
        </w:rPr>
        <w:t xml:space="preserve"> - public</w:t>
      </w:r>
      <w:r w:rsidR="008845CF">
        <w:rPr>
          <w:sz w:val="24"/>
          <w:szCs w:val="24"/>
        </w:rPr>
        <w:t xml:space="preserve"> </w:t>
      </w:r>
    </w:p>
    <w:p w:rsidR="008845CF" w:rsidRDefault="008845CF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Laws that impose security measures </w:t>
      </w:r>
    </w:p>
    <w:p w:rsidR="00D616B8" w:rsidRDefault="008845CF" w:rsidP="00994F2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Security through layered approach</w:t>
      </w:r>
    </w:p>
    <w:p w:rsidR="008845CF" w:rsidRDefault="008845CF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Network </w:t>
      </w:r>
      <w:r w:rsidR="00DE0AD9">
        <w:rPr>
          <w:sz w:val="24"/>
          <w:szCs w:val="24"/>
        </w:rPr>
        <w:t>level</w:t>
      </w:r>
      <w:r>
        <w:rPr>
          <w:sz w:val="24"/>
          <w:szCs w:val="24"/>
        </w:rPr>
        <w:t xml:space="preserve"> security implementation</w:t>
      </w:r>
    </w:p>
    <w:p w:rsidR="00E372D2" w:rsidRDefault="00661015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852C93">
        <w:rPr>
          <w:sz w:val="24"/>
          <w:szCs w:val="24"/>
        </w:rPr>
        <w:lastRenderedPageBreak/>
        <w:t>Basic n</w:t>
      </w:r>
      <w:r w:rsidR="00E372D2" w:rsidRPr="00852C93">
        <w:rPr>
          <w:sz w:val="24"/>
          <w:szCs w:val="24"/>
        </w:rPr>
        <w:t>etwork firewall settings</w:t>
      </w:r>
      <w:r w:rsidR="00852C93" w:rsidRPr="00852C93">
        <w:rPr>
          <w:sz w:val="24"/>
          <w:szCs w:val="24"/>
        </w:rPr>
        <w:t xml:space="preserve"> and </w:t>
      </w:r>
      <w:r w:rsidRPr="00852C93">
        <w:rPr>
          <w:sz w:val="24"/>
          <w:szCs w:val="24"/>
        </w:rPr>
        <w:t>Firewall settings for web-facing data servers</w:t>
      </w:r>
      <w:sdt>
        <w:sdtPr>
          <w:rPr>
            <w:sz w:val="24"/>
            <w:szCs w:val="24"/>
          </w:rPr>
          <w:id w:val="1283769263"/>
          <w:citation/>
        </w:sdtPr>
        <w:sdtEndPr/>
        <w:sdtContent>
          <w:r w:rsidR="002311D7" w:rsidRPr="00852C93">
            <w:rPr>
              <w:sz w:val="24"/>
              <w:szCs w:val="24"/>
            </w:rPr>
            <w:fldChar w:fldCharType="begin"/>
          </w:r>
          <w:r w:rsidR="002311D7" w:rsidRPr="00852C93">
            <w:rPr>
              <w:sz w:val="24"/>
              <w:szCs w:val="24"/>
            </w:rPr>
            <w:instrText xml:space="preserve"> CITATION Adr12 \l 1033 </w:instrText>
          </w:r>
          <w:r w:rsidR="002311D7" w:rsidRPr="00852C93">
            <w:rPr>
              <w:sz w:val="24"/>
              <w:szCs w:val="24"/>
            </w:rPr>
            <w:fldChar w:fldCharType="separate"/>
          </w:r>
          <w:r w:rsidR="00414A95">
            <w:rPr>
              <w:noProof/>
              <w:sz w:val="24"/>
              <w:szCs w:val="24"/>
            </w:rPr>
            <w:t xml:space="preserve"> </w:t>
          </w:r>
          <w:r w:rsidR="00414A95" w:rsidRPr="00414A95">
            <w:rPr>
              <w:noProof/>
              <w:sz w:val="24"/>
              <w:szCs w:val="24"/>
            </w:rPr>
            <w:t>[4]</w:t>
          </w:r>
          <w:r w:rsidR="002311D7" w:rsidRPr="00852C93">
            <w:rPr>
              <w:sz w:val="24"/>
              <w:szCs w:val="24"/>
            </w:rPr>
            <w:fldChar w:fldCharType="end"/>
          </w:r>
        </w:sdtContent>
      </w:sdt>
    </w:p>
    <w:p w:rsidR="00414A95" w:rsidRPr="00852C93" w:rsidRDefault="00414A95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Server firewall configuration</w:t>
      </w:r>
      <w:sdt>
        <w:sdtPr>
          <w:rPr>
            <w:sz w:val="24"/>
            <w:szCs w:val="24"/>
          </w:rPr>
          <w:id w:val="480970545"/>
          <w:citation/>
        </w:sdtPr>
        <w:sdtEndPr/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Che12 \l 1033 </w:instrText>
          </w:r>
          <w:r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 xml:space="preserve"> </w:t>
          </w:r>
          <w:r w:rsidRPr="00414A95">
            <w:rPr>
              <w:noProof/>
              <w:sz w:val="24"/>
              <w:szCs w:val="24"/>
            </w:rPr>
            <w:t>[5]</w:t>
          </w:r>
          <w:r>
            <w:rPr>
              <w:sz w:val="24"/>
              <w:szCs w:val="24"/>
            </w:rPr>
            <w:fldChar w:fldCharType="end"/>
          </w:r>
        </w:sdtContent>
      </w:sdt>
    </w:p>
    <w:p w:rsidR="00F71C48" w:rsidRDefault="004B5ABC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Server/Instance Security </w:t>
      </w:r>
    </w:p>
    <w:p w:rsidR="00997517" w:rsidRPr="00997517" w:rsidRDefault="00997517" w:rsidP="00994F24">
      <w:pPr>
        <w:pStyle w:val="ListParagraph"/>
        <w:numPr>
          <w:ilvl w:val="2"/>
          <w:numId w:val="1"/>
        </w:numPr>
        <w:spacing w:line="360" w:lineRule="auto"/>
        <w:rPr>
          <w:color w:val="FF0000"/>
          <w:sz w:val="24"/>
          <w:szCs w:val="24"/>
        </w:rPr>
      </w:pPr>
      <w:r w:rsidRPr="00997517">
        <w:rPr>
          <w:color w:val="FF0000"/>
          <w:sz w:val="24"/>
          <w:szCs w:val="24"/>
        </w:rPr>
        <w:t>Installation Configuration</w:t>
      </w:r>
    </w:p>
    <w:p w:rsidR="00312E02" w:rsidRDefault="006E487E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Patch management </w:t>
      </w:r>
    </w:p>
    <w:p w:rsidR="003A0488" w:rsidRDefault="003A0488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Database Authentication modes</w:t>
      </w:r>
    </w:p>
    <w:p w:rsidR="00A161FD" w:rsidRDefault="00A161FD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User logins and password management</w:t>
      </w:r>
    </w:p>
    <w:p w:rsidR="0025516C" w:rsidRDefault="0025516C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Manag</w:t>
      </w:r>
      <w:r w:rsidR="00C62285">
        <w:rPr>
          <w:sz w:val="24"/>
          <w:szCs w:val="24"/>
        </w:rPr>
        <w:t>ing service account security</w:t>
      </w:r>
    </w:p>
    <w:p w:rsidR="00092848" w:rsidRDefault="00A4359D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A4359D">
        <w:rPr>
          <w:sz w:val="24"/>
          <w:szCs w:val="24"/>
        </w:rPr>
        <w:t>Database</w:t>
      </w:r>
      <w:r>
        <w:rPr>
          <w:sz w:val="24"/>
          <w:szCs w:val="24"/>
        </w:rPr>
        <w:t xml:space="preserve"> /object security</w:t>
      </w:r>
    </w:p>
    <w:p w:rsidR="00A07512" w:rsidRDefault="00C62285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User permissions</w:t>
      </w:r>
    </w:p>
    <w:p w:rsidR="00C62285" w:rsidRDefault="00C62285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Object level permissions</w:t>
      </w:r>
    </w:p>
    <w:p w:rsidR="00C62285" w:rsidRDefault="00C62285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Table/column permission</w:t>
      </w:r>
    </w:p>
    <w:p w:rsidR="00A4359D" w:rsidRDefault="00A07512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07512">
        <w:rPr>
          <w:sz w:val="24"/>
          <w:szCs w:val="24"/>
        </w:rPr>
        <w:t>Data encryption</w:t>
      </w:r>
    </w:p>
    <w:p w:rsidR="00DF51DE" w:rsidRDefault="00DF51DE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Securing database backups</w:t>
      </w:r>
    </w:p>
    <w:p w:rsidR="00CC3C2A" w:rsidRDefault="00CC3C2A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Secure coding and application design</w:t>
      </w:r>
    </w:p>
    <w:p w:rsidR="00CC3C2A" w:rsidRDefault="00CC3C2A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Secure application coding </w:t>
      </w:r>
    </w:p>
    <w:p w:rsidR="00CC3C2A" w:rsidRDefault="00CC3C2A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Protecting  database connection strings</w:t>
      </w:r>
    </w:p>
    <w:p w:rsidR="00CC3C2A" w:rsidRDefault="00CC3C2A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Preventing SQL injection attacks</w:t>
      </w:r>
      <w:sdt>
        <w:sdtPr>
          <w:rPr>
            <w:color w:val="FF0000"/>
            <w:sz w:val="24"/>
            <w:szCs w:val="24"/>
          </w:rPr>
          <w:id w:val="501248681"/>
          <w:citation/>
        </w:sdtPr>
        <w:sdtEndPr/>
        <w:sdtContent>
          <w:r w:rsidR="00BD513A" w:rsidRPr="004A7F71">
            <w:rPr>
              <w:color w:val="FF0000"/>
              <w:sz w:val="24"/>
              <w:szCs w:val="24"/>
            </w:rPr>
            <w:fldChar w:fldCharType="begin"/>
          </w:r>
          <w:r w:rsidR="00BD513A" w:rsidRPr="004A7F71">
            <w:rPr>
              <w:color w:val="FF0000"/>
              <w:sz w:val="24"/>
              <w:szCs w:val="24"/>
            </w:rPr>
            <w:instrText xml:space="preserve">CITATION htt12 \l 1033 </w:instrText>
          </w:r>
          <w:r w:rsidR="00BD513A" w:rsidRPr="004A7F71">
            <w:rPr>
              <w:color w:val="FF0000"/>
              <w:sz w:val="24"/>
              <w:szCs w:val="24"/>
            </w:rPr>
            <w:fldChar w:fldCharType="separate"/>
          </w:r>
          <w:r w:rsidR="00414A95">
            <w:rPr>
              <w:noProof/>
              <w:color w:val="FF0000"/>
              <w:sz w:val="24"/>
              <w:szCs w:val="24"/>
            </w:rPr>
            <w:t xml:space="preserve"> </w:t>
          </w:r>
          <w:r w:rsidR="00414A95" w:rsidRPr="00414A95">
            <w:rPr>
              <w:noProof/>
              <w:color w:val="FF0000"/>
              <w:sz w:val="24"/>
              <w:szCs w:val="24"/>
            </w:rPr>
            <w:t>[6]</w:t>
          </w:r>
          <w:r w:rsidR="00BD513A" w:rsidRPr="004A7F71">
            <w:rPr>
              <w:color w:val="FF0000"/>
              <w:sz w:val="24"/>
              <w:szCs w:val="24"/>
            </w:rPr>
            <w:fldChar w:fldCharType="end"/>
          </w:r>
        </w:sdtContent>
      </w:sdt>
    </w:p>
    <w:p w:rsidR="00DF51DE" w:rsidRDefault="00F74642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Policies </w:t>
      </w:r>
      <w:r w:rsidR="00724197">
        <w:rPr>
          <w:sz w:val="24"/>
          <w:szCs w:val="24"/>
        </w:rPr>
        <w:t>to</w:t>
      </w:r>
      <w:r>
        <w:rPr>
          <w:sz w:val="24"/>
          <w:szCs w:val="24"/>
        </w:rPr>
        <w:t xml:space="preserve"> secure databases</w:t>
      </w:r>
    </w:p>
    <w:p w:rsidR="00CC3C2A" w:rsidRDefault="00F74642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Password complexity /expiration  policy</w:t>
      </w:r>
    </w:p>
    <w:p w:rsidR="00F74642" w:rsidRDefault="00F74642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Backup maintenance policies</w:t>
      </w:r>
    </w:p>
    <w:p w:rsidR="00F74642" w:rsidRDefault="00F74642" w:rsidP="00994F2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Non-IT users training </w:t>
      </w:r>
    </w:p>
    <w:p w:rsidR="003C3CB3" w:rsidRPr="003C3CB3" w:rsidRDefault="003C3CB3" w:rsidP="00994F24">
      <w:pPr>
        <w:pStyle w:val="ListParagraph"/>
        <w:numPr>
          <w:ilvl w:val="1"/>
          <w:numId w:val="1"/>
        </w:numPr>
        <w:spacing w:line="360" w:lineRule="auto"/>
        <w:rPr>
          <w:color w:val="FF0000"/>
          <w:sz w:val="24"/>
          <w:szCs w:val="24"/>
        </w:rPr>
      </w:pPr>
      <w:r w:rsidRPr="003C3CB3">
        <w:rPr>
          <w:color w:val="FF0000"/>
          <w:sz w:val="24"/>
          <w:szCs w:val="24"/>
        </w:rPr>
        <w:t xml:space="preserve">Securing SQL Azure (SQL in Cloud) </w:t>
      </w:r>
      <w:r>
        <w:rPr>
          <w:color w:val="FF0000"/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947548847"/>
          <w:citation/>
        </w:sdtPr>
        <w:sdtEndPr/>
        <w:sdtContent>
          <w:r>
            <w:rPr>
              <w:color w:val="FF0000"/>
              <w:sz w:val="24"/>
              <w:szCs w:val="24"/>
            </w:rPr>
            <w:fldChar w:fldCharType="begin"/>
          </w:r>
          <w:r>
            <w:rPr>
              <w:color w:val="FF0000"/>
              <w:sz w:val="24"/>
              <w:szCs w:val="24"/>
            </w:rPr>
            <w:instrText xml:space="preserve"> CITATION Den11 \l 1033 </w:instrText>
          </w:r>
          <w:r>
            <w:rPr>
              <w:color w:val="FF0000"/>
              <w:sz w:val="24"/>
              <w:szCs w:val="24"/>
            </w:rPr>
            <w:fldChar w:fldCharType="separate"/>
          </w:r>
          <w:r w:rsidR="00414A95" w:rsidRPr="00414A95">
            <w:rPr>
              <w:noProof/>
              <w:color w:val="FF0000"/>
              <w:sz w:val="24"/>
              <w:szCs w:val="24"/>
            </w:rPr>
            <w:t>[7]</w:t>
          </w:r>
          <w:r>
            <w:rPr>
              <w:color w:val="FF0000"/>
              <w:sz w:val="24"/>
              <w:szCs w:val="24"/>
            </w:rPr>
            <w:fldChar w:fldCharType="end"/>
          </w:r>
        </w:sdtContent>
      </w:sdt>
    </w:p>
    <w:p w:rsidR="00832703" w:rsidRDefault="0089000D" w:rsidP="00994F2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Security tools</w:t>
      </w:r>
    </w:p>
    <w:p w:rsidR="0089000D" w:rsidRDefault="0089000D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Microsoft tools</w:t>
      </w:r>
    </w:p>
    <w:p w:rsidR="0089000D" w:rsidRDefault="0089000D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Third party tool</w:t>
      </w:r>
    </w:p>
    <w:p w:rsidR="0089000D" w:rsidRDefault="0089000D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Free/open source tools</w:t>
      </w:r>
    </w:p>
    <w:p w:rsidR="0089000D" w:rsidRDefault="00030F2E" w:rsidP="00994F2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Recommendations and best practices</w:t>
      </w:r>
    </w:p>
    <w:p w:rsidR="005E358B" w:rsidRPr="00EB2248" w:rsidRDefault="00FD3BB8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Security R</w:t>
      </w:r>
      <w:r w:rsidR="005E358B">
        <w:rPr>
          <w:sz w:val="24"/>
          <w:szCs w:val="24"/>
        </w:rPr>
        <w:t>ecommendations</w:t>
      </w:r>
      <w:r w:rsidR="00724197">
        <w:rPr>
          <w:sz w:val="24"/>
          <w:szCs w:val="24"/>
        </w:rPr>
        <w:t xml:space="preserve"> &amp;</w:t>
      </w:r>
      <w:r w:rsidR="00260BBF">
        <w:rPr>
          <w:sz w:val="24"/>
          <w:szCs w:val="24"/>
        </w:rPr>
        <w:t xml:space="preserve"> </w:t>
      </w:r>
      <w:r w:rsidR="005E358B" w:rsidRPr="00724197">
        <w:rPr>
          <w:sz w:val="24"/>
          <w:szCs w:val="24"/>
        </w:rPr>
        <w:t>best practices</w:t>
      </w:r>
      <w:sdt>
        <w:sdtPr>
          <w:id w:val="-1186365222"/>
          <w:citation/>
        </w:sdtPr>
        <w:sdtEndPr/>
        <w:sdtContent>
          <w:r w:rsidRPr="00724197">
            <w:rPr>
              <w:sz w:val="24"/>
              <w:szCs w:val="24"/>
            </w:rPr>
            <w:fldChar w:fldCharType="begin"/>
          </w:r>
          <w:r w:rsidRPr="00724197">
            <w:rPr>
              <w:sz w:val="24"/>
              <w:szCs w:val="24"/>
            </w:rPr>
            <w:instrText xml:space="preserve"> CITATION Bas12 \l 1033 </w:instrText>
          </w:r>
          <w:r w:rsidRPr="00724197">
            <w:rPr>
              <w:sz w:val="24"/>
              <w:szCs w:val="24"/>
            </w:rPr>
            <w:fldChar w:fldCharType="separate"/>
          </w:r>
          <w:r w:rsidR="00414A95">
            <w:rPr>
              <w:noProof/>
              <w:sz w:val="24"/>
              <w:szCs w:val="24"/>
            </w:rPr>
            <w:t xml:space="preserve"> </w:t>
          </w:r>
          <w:r w:rsidR="00414A95" w:rsidRPr="00414A95">
            <w:rPr>
              <w:noProof/>
              <w:sz w:val="24"/>
              <w:szCs w:val="24"/>
            </w:rPr>
            <w:t>[8]</w:t>
          </w:r>
          <w:r w:rsidRPr="00724197">
            <w:rPr>
              <w:sz w:val="24"/>
              <w:szCs w:val="24"/>
            </w:rPr>
            <w:fldChar w:fldCharType="end"/>
          </w:r>
        </w:sdtContent>
      </w:sdt>
    </w:p>
    <w:p w:rsidR="00EB2248" w:rsidRPr="00EB2248" w:rsidRDefault="000E48E3" w:rsidP="00994F24">
      <w:pPr>
        <w:pStyle w:val="ListParagraph"/>
        <w:numPr>
          <w:ilvl w:val="1"/>
          <w:numId w:val="1"/>
        </w:numPr>
        <w:spacing w:line="360" w:lineRule="auto"/>
        <w:rPr>
          <w:color w:val="FF0000"/>
          <w:sz w:val="24"/>
          <w:szCs w:val="24"/>
        </w:rPr>
      </w:pPr>
      <w:r>
        <w:rPr>
          <w:color w:val="FF0000"/>
        </w:rPr>
        <w:t>Techniques</w:t>
      </w:r>
      <w:r w:rsidR="00EB2248" w:rsidRPr="00EB2248">
        <w:rPr>
          <w:color w:val="FF0000"/>
        </w:rPr>
        <w:t xml:space="preserve"> to help discover SQL server weaknesses</w:t>
      </w:r>
      <w:sdt>
        <w:sdtPr>
          <w:rPr>
            <w:color w:val="FF0000"/>
          </w:rPr>
          <w:id w:val="688488003"/>
          <w:citation/>
        </w:sdtPr>
        <w:sdtEndPr/>
        <w:sdtContent>
          <w:r w:rsidR="009A7B65">
            <w:rPr>
              <w:color w:val="FF0000"/>
            </w:rPr>
            <w:fldChar w:fldCharType="begin"/>
          </w:r>
          <w:r w:rsidR="009A7B65">
            <w:rPr>
              <w:color w:val="FF0000"/>
            </w:rPr>
            <w:instrText xml:space="preserve"> CITATION Don08 \l 1033 </w:instrText>
          </w:r>
          <w:r w:rsidR="009A7B65">
            <w:rPr>
              <w:color w:val="FF0000"/>
            </w:rPr>
            <w:fldChar w:fldCharType="separate"/>
          </w:r>
          <w:r w:rsidR="00414A95">
            <w:rPr>
              <w:noProof/>
              <w:color w:val="FF0000"/>
            </w:rPr>
            <w:t xml:space="preserve"> </w:t>
          </w:r>
          <w:r w:rsidR="00414A95" w:rsidRPr="00414A95">
            <w:rPr>
              <w:noProof/>
              <w:color w:val="FF0000"/>
            </w:rPr>
            <w:t>[9]</w:t>
          </w:r>
          <w:r w:rsidR="009A7B65">
            <w:rPr>
              <w:color w:val="FF0000"/>
            </w:rPr>
            <w:fldChar w:fldCharType="end"/>
          </w:r>
        </w:sdtContent>
      </w:sdt>
    </w:p>
    <w:p w:rsidR="00217F1F" w:rsidRDefault="00217F1F" w:rsidP="00994F2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Response to a security breach</w:t>
      </w:r>
    </w:p>
    <w:p w:rsidR="00217F1F" w:rsidRDefault="00217F1F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Logs audits</w:t>
      </w:r>
    </w:p>
    <w:p w:rsidR="00217F1F" w:rsidRDefault="00217F1F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Forensic investigation</w:t>
      </w:r>
    </w:p>
    <w:p w:rsidR="00217F1F" w:rsidRDefault="00217F1F" w:rsidP="00994F2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Actions required by law after a breach</w:t>
      </w:r>
    </w:p>
    <w:p w:rsidR="00E91936" w:rsidRDefault="0005118F" w:rsidP="00994F2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EC6A43" w:rsidRDefault="00EC6A43" w:rsidP="00994F24">
      <w:pPr>
        <w:spacing w:line="360" w:lineRule="auto"/>
        <w:rPr>
          <w:sz w:val="24"/>
          <w:szCs w:val="24"/>
        </w:rPr>
      </w:pPr>
    </w:p>
    <w:p w:rsidR="00EC6A43" w:rsidRDefault="00EC6A43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p w:rsidR="00595239" w:rsidRDefault="00595239" w:rsidP="00994F24">
      <w:pPr>
        <w:spacing w:line="360" w:lineRule="auto"/>
        <w:rPr>
          <w:sz w:val="24"/>
          <w:szCs w:val="24"/>
        </w:rPr>
      </w:pP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531028680"/>
        <w:docPartObj>
          <w:docPartGallery w:val="Bibliographies"/>
          <w:docPartUnique/>
        </w:docPartObj>
      </w:sdtPr>
      <w:sdtEndPr/>
      <w:sdtContent>
        <w:p w:rsidR="00414A95" w:rsidRDefault="00F06F7E" w:rsidP="00994F24">
          <w:pPr>
            <w:pStyle w:val="Heading1"/>
            <w:spacing w:line="360" w:lineRule="auto"/>
            <w:rPr>
              <w:noProof/>
            </w:rPr>
          </w:pPr>
          <w:r>
            <w:t>Works Cited</w:t>
          </w:r>
          <w:r>
            <w:rPr>
              <w:b w:val="0"/>
              <w:bCs w:val="0"/>
            </w:rPr>
            <w:fldChar w:fldCharType="begin"/>
          </w:r>
          <w:r>
            <w:instrText xml:space="preserve"> BIBLIOGRAPHY </w:instrText>
          </w:r>
          <w:r>
            <w:rPr>
              <w:b w:val="0"/>
              <w:bCs w:val="0"/>
            </w:rP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33"/>
            <w:gridCol w:w="9017"/>
          </w:tblGrid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D. Shinder, "How Do Compliance Issues Affect your Network?," WindowsSecurity.com, 12 7 2005. [Online]. Available: http://www.windowsecurity.com/articles/How-Do-Compliance-Issues-Affect-your-Network.html.</w:t>
                </w:r>
              </w:p>
            </w:tc>
          </w:tr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D. Donston-Miller, "Ensuring SecureDatabase Access," InformationWeek, 2011.</w:t>
                </w:r>
              </w:p>
            </w:tc>
          </w:tr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www.privacyrights.org, "Privacy Rights Clearing House," [Online]. Available: http://www.privacyrights.org/data-breach. [Accessed 15 09 2012].</w:t>
                </w:r>
              </w:p>
            </w:tc>
          </w:tr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[4]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A. Lane, "Strategies for Protecting Web-facing Databases," Information Week, 2012.</w:t>
                </w:r>
              </w:p>
            </w:tc>
          </w:tr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[5]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D. Cherry, Securing SQL server:Protecting Your Database from Attackers- Second Edition, Syngress, 2012. </w:t>
                </w:r>
              </w:p>
            </w:tc>
          </w:tr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[6]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"MSDN : SQL Server Developer Center," Microsoft, [Online]. Available: http://msdn.microsoft.com/en-us/library/ms161953(SQL.105).aspx. [Accessed 27 09 2012].</w:t>
                </w:r>
              </w:p>
            </w:tc>
          </w:tr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[7]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D. Cherry, "Securing SQL Server data in the cloud: a few pointers," </w:t>
                </w:r>
                <w:r>
                  <w:rPr>
                    <w:i/>
                    <w:iCs/>
                    <w:noProof/>
                  </w:rPr>
                  <w:t xml:space="preserve">Tech Target, </w:t>
                </w:r>
                <w:r>
                  <w:rPr>
                    <w:noProof/>
                  </w:rPr>
                  <w:t xml:space="preserve">2011. </w:t>
                </w:r>
              </w:p>
            </w:tc>
          </w:tr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[8]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B. Farooq, "Basit's SQL Server Tips," 1 June 2012. [Online]. Available: http://www.sqlservercentral.com/blogs/basits-sql-server-tips/2012/06/01/sql-server-2008-security-best-practices/. [Accessed 16 9 2012].</w:t>
                </w:r>
              </w:p>
            </w:tc>
          </w:tr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[9]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D. Kiely, "Hack Your database Before the Hackers Do," </w:t>
                </w:r>
                <w:r>
                  <w:rPr>
                    <w:i/>
                    <w:iCs/>
                    <w:noProof/>
                  </w:rPr>
                  <w:t xml:space="preserve">SQL Server Magazine, </w:t>
                </w:r>
                <w:r>
                  <w:rPr>
                    <w:noProof/>
                  </w:rPr>
                  <w:t xml:space="preserve">vol. 10, no. 05, p. 27, 2008. </w:t>
                </w:r>
              </w:p>
            </w:tc>
          </w:tr>
          <w:tr w:rsidR="00414A95">
            <w:trPr>
              <w:tblCellSpacing w:w="15" w:type="dxa"/>
            </w:trPr>
            <w:tc>
              <w:tcPr>
                <w:tcW w:w="50" w:type="pct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[10] </w:t>
                </w:r>
              </w:p>
            </w:tc>
            <w:tc>
              <w:tcPr>
                <w:tcW w:w="0" w:type="auto"/>
                <w:hideMark/>
              </w:tcPr>
              <w:p w:rsidR="00414A95" w:rsidRDefault="00414A95" w:rsidP="00994F24">
                <w:pPr>
                  <w:pStyle w:val="Bibliography"/>
                  <w:spacing w:line="360" w:lineRule="auto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Microsoft-MSDN, "Security Considerations for a SQL Server Installation," [Online]. Available: http://msdn.microsoft.com/en-us/library/ms144228.aspx. [Accessed 24 09 2012].</w:t>
                </w:r>
              </w:p>
            </w:tc>
          </w:tr>
        </w:tbl>
        <w:p w:rsidR="00F06F7E" w:rsidRDefault="00F06F7E" w:rsidP="00994F24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sectPr w:rsidR="00F06F7E" w:rsidSect="00336837">
      <w:headerReference w:type="default" r:id="rId11"/>
      <w:footerReference w:type="default" r:id="rId12"/>
      <w:pgSz w:w="12240" w:h="15840"/>
      <w:pgMar w:top="1440" w:right="1440" w:bottom="1440" w:left="144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82" w:rsidRDefault="00F61882" w:rsidP="00F7190E">
      <w:pPr>
        <w:spacing w:after="0" w:line="240" w:lineRule="auto"/>
      </w:pPr>
      <w:r>
        <w:separator/>
      </w:r>
    </w:p>
  </w:endnote>
  <w:endnote w:type="continuationSeparator" w:id="0">
    <w:p w:rsidR="00F61882" w:rsidRDefault="00F61882" w:rsidP="00F7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E" w:rsidRDefault="00F7190E">
    <w:pPr>
      <w:pStyle w:val="Footer"/>
    </w:pPr>
  </w:p>
  <w:p w:rsidR="00C546CC" w:rsidRDefault="00C54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82" w:rsidRDefault="00F61882" w:rsidP="00F7190E">
      <w:pPr>
        <w:spacing w:after="0" w:line="240" w:lineRule="auto"/>
      </w:pPr>
      <w:r>
        <w:separator/>
      </w:r>
    </w:p>
  </w:footnote>
  <w:footnote w:type="continuationSeparator" w:id="0">
    <w:p w:rsidR="00F61882" w:rsidRDefault="00F61882" w:rsidP="00F7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414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5DC" w:rsidRPr="00336837" w:rsidRDefault="001305DC" w:rsidP="00336837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8"/>
            <w:szCs w:val="32"/>
          </w:rPr>
        </w:pPr>
        <w:r w:rsidRPr="00C60346">
          <w:rPr>
            <w:sz w:val="24"/>
          </w:rPr>
          <w:fldChar w:fldCharType="begin"/>
        </w:r>
        <w:r w:rsidRPr="00C60346">
          <w:rPr>
            <w:sz w:val="24"/>
          </w:rPr>
          <w:instrText xml:space="preserve"> PAGE   \* MERGEFORMAT </w:instrText>
        </w:r>
        <w:r w:rsidRPr="00C60346">
          <w:rPr>
            <w:sz w:val="24"/>
          </w:rPr>
          <w:fldChar w:fldCharType="separate"/>
        </w:r>
        <w:r w:rsidR="00D0662B">
          <w:rPr>
            <w:noProof/>
            <w:sz w:val="24"/>
          </w:rPr>
          <w:t>2</w:t>
        </w:r>
        <w:r w:rsidRPr="00C60346">
          <w:rPr>
            <w:noProof/>
            <w:sz w:val="24"/>
          </w:rPr>
          <w:fldChar w:fldCharType="end"/>
        </w:r>
        <w:r w:rsidR="0042616D">
          <w:rPr>
            <w:noProof/>
            <w:sz w:val="20"/>
          </w:rPr>
          <w:t xml:space="preserve">                      </w:t>
        </w:r>
        <w:r w:rsidRPr="00C60346">
          <w:rPr>
            <w:noProof/>
            <w:sz w:val="20"/>
          </w:rPr>
          <w:t xml:space="preserve">                                                                          </w:t>
        </w:r>
        <w:r w:rsidR="0042616D">
          <w:rPr>
            <w:noProof/>
            <w:sz w:val="20"/>
          </w:rPr>
          <w:t xml:space="preserve">                                                      </w:t>
        </w:r>
        <w:sdt>
          <w:sdtPr>
            <w:rPr>
              <w:rFonts w:asciiTheme="majorHAnsi" w:eastAsiaTheme="majorEastAsia" w:hAnsiTheme="majorHAnsi" w:cstheme="majorBidi"/>
              <w:sz w:val="28"/>
              <w:szCs w:val="32"/>
            </w:rPr>
            <w:alias w:val="Title"/>
            <w:id w:val="77738743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r>
              <w:rPr>
                <w:rFonts w:asciiTheme="majorHAnsi" w:eastAsiaTheme="majorEastAsia" w:hAnsiTheme="majorHAnsi" w:cstheme="majorBidi"/>
                <w:sz w:val="28"/>
                <w:szCs w:val="32"/>
              </w:rPr>
              <w:t>Securing SQL Server</w:t>
            </w:r>
          </w:sdtContent>
        </w:sdt>
      </w:p>
    </w:sdtContent>
  </w:sdt>
  <w:p w:rsidR="00F7190E" w:rsidRDefault="00F7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73F0"/>
    <w:multiLevelType w:val="hybridMultilevel"/>
    <w:tmpl w:val="1292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0E"/>
    <w:rsid w:val="000138F3"/>
    <w:rsid w:val="00022982"/>
    <w:rsid w:val="00030F2E"/>
    <w:rsid w:val="000352AA"/>
    <w:rsid w:val="0003557D"/>
    <w:rsid w:val="00041F03"/>
    <w:rsid w:val="000452D1"/>
    <w:rsid w:val="000501AD"/>
    <w:rsid w:val="0005118F"/>
    <w:rsid w:val="00053D3C"/>
    <w:rsid w:val="00054E56"/>
    <w:rsid w:val="00062A8B"/>
    <w:rsid w:val="00062DA8"/>
    <w:rsid w:val="0006390D"/>
    <w:rsid w:val="00074323"/>
    <w:rsid w:val="000773D9"/>
    <w:rsid w:val="00077883"/>
    <w:rsid w:val="00077EB1"/>
    <w:rsid w:val="00080FD9"/>
    <w:rsid w:val="000848AE"/>
    <w:rsid w:val="00092848"/>
    <w:rsid w:val="000A0D47"/>
    <w:rsid w:val="000B4E09"/>
    <w:rsid w:val="000C2096"/>
    <w:rsid w:val="000C32E8"/>
    <w:rsid w:val="000C3F5E"/>
    <w:rsid w:val="000C76EA"/>
    <w:rsid w:val="000E48E3"/>
    <w:rsid w:val="000F194B"/>
    <w:rsid w:val="000F2675"/>
    <w:rsid w:val="000F2784"/>
    <w:rsid w:val="001029A1"/>
    <w:rsid w:val="001044D6"/>
    <w:rsid w:val="001165AD"/>
    <w:rsid w:val="00124F21"/>
    <w:rsid w:val="00126B60"/>
    <w:rsid w:val="00130086"/>
    <w:rsid w:val="001305DC"/>
    <w:rsid w:val="001330BA"/>
    <w:rsid w:val="0014141B"/>
    <w:rsid w:val="001444B0"/>
    <w:rsid w:val="00157F58"/>
    <w:rsid w:val="00162762"/>
    <w:rsid w:val="00165878"/>
    <w:rsid w:val="00172186"/>
    <w:rsid w:val="00175235"/>
    <w:rsid w:val="0018728F"/>
    <w:rsid w:val="00191922"/>
    <w:rsid w:val="001A0EE0"/>
    <w:rsid w:val="001A504D"/>
    <w:rsid w:val="001A6DB3"/>
    <w:rsid w:val="001B56D0"/>
    <w:rsid w:val="001B7272"/>
    <w:rsid w:val="001E1A5B"/>
    <w:rsid w:val="001E29EF"/>
    <w:rsid w:val="002008FC"/>
    <w:rsid w:val="0020150F"/>
    <w:rsid w:val="00202BB1"/>
    <w:rsid w:val="00206540"/>
    <w:rsid w:val="00217F1F"/>
    <w:rsid w:val="002204F6"/>
    <w:rsid w:val="00220701"/>
    <w:rsid w:val="00224889"/>
    <w:rsid w:val="00224B1B"/>
    <w:rsid w:val="002263B8"/>
    <w:rsid w:val="00227006"/>
    <w:rsid w:val="002311D7"/>
    <w:rsid w:val="0025516C"/>
    <w:rsid w:val="00260BBF"/>
    <w:rsid w:val="00266D7C"/>
    <w:rsid w:val="00267E93"/>
    <w:rsid w:val="00273AD4"/>
    <w:rsid w:val="00276051"/>
    <w:rsid w:val="00277A20"/>
    <w:rsid w:val="002871DC"/>
    <w:rsid w:val="00295699"/>
    <w:rsid w:val="002A3BF9"/>
    <w:rsid w:val="002A6A59"/>
    <w:rsid w:val="002D2CA7"/>
    <w:rsid w:val="002E485F"/>
    <w:rsid w:val="002E67BE"/>
    <w:rsid w:val="002F01C2"/>
    <w:rsid w:val="002F7A06"/>
    <w:rsid w:val="00300811"/>
    <w:rsid w:val="00307160"/>
    <w:rsid w:val="003073C3"/>
    <w:rsid w:val="00312E02"/>
    <w:rsid w:val="00321C3E"/>
    <w:rsid w:val="00322BE3"/>
    <w:rsid w:val="00322C21"/>
    <w:rsid w:val="00336837"/>
    <w:rsid w:val="003378A3"/>
    <w:rsid w:val="00343B43"/>
    <w:rsid w:val="0034609B"/>
    <w:rsid w:val="00350617"/>
    <w:rsid w:val="00375458"/>
    <w:rsid w:val="003835CC"/>
    <w:rsid w:val="00386343"/>
    <w:rsid w:val="0039226C"/>
    <w:rsid w:val="003A0488"/>
    <w:rsid w:val="003A18FB"/>
    <w:rsid w:val="003B6C3F"/>
    <w:rsid w:val="003C1422"/>
    <w:rsid w:val="003C3CB3"/>
    <w:rsid w:val="003C5627"/>
    <w:rsid w:val="003D3643"/>
    <w:rsid w:val="003E207D"/>
    <w:rsid w:val="003E261C"/>
    <w:rsid w:val="003E490E"/>
    <w:rsid w:val="003F1D22"/>
    <w:rsid w:val="004005E3"/>
    <w:rsid w:val="00404DBC"/>
    <w:rsid w:val="00404EB6"/>
    <w:rsid w:val="00410ECB"/>
    <w:rsid w:val="0041356C"/>
    <w:rsid w:val="00414A95"/>
    <w:rsid w:val="00424413"/>
    <w:rsid w:val="0042616D"/>
    <w:rsid w:val="00426B4B"/>
    <w:rsid w:val="00431374"/>
    <w:rsid w:val="004363E8"/>
    <w:rsid w:val="00443D61"/>
    <w:rsid w:val="00446195"/>
    <w:rsid w:val="0045444E"/>
    <w:rsid w:val="00455270"/>
    <w:rsid w:val="0045638C"/>
    <w:rsid w:val="004571C5"/>
    <w:rsid w:val="0046221C"/>
    <w:rsid w:val="00467175"/>
    <w:rsid w:val="004707F5"/>
    <w:rsid w:val="004718F0"/>
    <w:rsid w:val="0048366B"/>
    <w:rsid w:val="00495D16"/>
    <w:rsid w:val="00496964"/>
    <w:rsid w:val="004A1D8C"/>
    <w:rsid w:val="004A7F71"/>
    <w:rsid w:val="004B1608"/>
    <w:rsid w:val="004B1B47"/>
    <w:rsid w:val="004B5ABC"/>
    <w:rsid w:val="004D2684"/>
    <w:rsid w:val="004E3F5E"/>
    <w:rsid w:val="004F2910"/>
    <w:rsid w:val="00500AD1"/>
    <w:rsid w:val="005101D4"/>
    <w:rsid w:val="0051179B"/>
    <w:rsid w:val="0051593E"/>
    <w:rsid w:val="00522417"/>
    <w:rsid w:val="00527CD7"/>
    <w:rsid w:val="005302F2"/>
    <w:rsid w:val="00531B41"/>
    <w:rsid w:val="00536334"/>
    <w:rsid w:val="0055083F"/>
    <w:rsid w:val="00551B9B"/>
    <w:rsid w:val="0056382F"/>
    <w:rsid w:val="00567620"/>
    <w:rsid w:val="00577D4B"/>
    <w:rsid w:val="00585259"/>
    <w:rsid w:val="00585DAF"/>
    <w:rsid w:val="00595239"/>
    <w:rsid w:val="005B0A6C"/>
    <w:rsid w:val="005B409A"/>
    <w:rsid w:val="005E358B"/>
    <w:rsid w:val="0060195E"/>
    <w:rsid w:val="00604EE4"/>
    <w:rsid w:val="006176E9"/>
    <w:rsid w:val="00621D89"/>
    <w:rsid w:val="00632995"/>
    <w:rsid w:val="0063582E"/>
    <w:rsid w:val="00637045"/>
    <w:rsid w:val="006405E2"/>
    <w:rsid w:val="006501E3"/>
    <w:rsid w:val="0065632F"/>
    <w:rsid w:val="00656404"/>
    <w:rsid w:val="00656657"/>
    <w:rsid w:val="00661015"/>
    <w:rsid w:val="00674FA2"/>
    <w:rsid w:val="00691587"/>
    <w:rsid w:val="00694695"/>
    <w:rsid w:val="00694FBB"/>
    <w:rsid w:val="00696357"/>
    <w:rsid w:val="006B4811"/>
    <w:rsid w:val="006C3A58"/>
    <w:rsid w:val="006D1CA0"/>
    <w:rsid w:val="006D6EDC"/>
    <w:rsid w:val="006E0E0C"/>
    <w:rsid w:val="006E487E"/>
    <w:rsid w:val="006F09AF"/>
    <w:rsid w:val="006F1395"/>
    <w:rsid w:val="007034A7"/>
    <w:rsid w:val="0070684E"/>
    <w:rsid w:val="007111AD"/>
    <w:rsid w:val="00714CBE"/>
    <w:rsid w:val="00724197"/>
    <w:rsid w:val="007511DA"/>
    <w:rsid w:val="00761EE0"/>
    <w:rsid w:val="00772BE0"/>
    <w:rsid w:val="00783877"/>
    <w:rsid w:val="0078759F"/>
    <w:rsid w:val="00792CD7"/>
    <w:rsid w:val="00796B3F"/>
    <w:rsid w:val="007B386E"/>
    <w:rsid w:val="007B7216"/>
    <w:rsid w:val="007C08C8"/>
    <w:rsid w:val="007C12DF"/>
    <w:rsid w:val="007D6D0A"/>
    <w:rsid w:val="007D700E"/>
    <w:rsid w:val="007E751D"/>
    <w:rsid w:val="007F145F"/>
    <w:rsid w:val="007F20F3"/>
    <w:rsid w:val="007F36E1"/>
    <w:rsid w:val="00806310"/>
    <w:rsid w:val="00810694"/>
    <w:rsid w:val="00832703"/>
    <w:rsid w:val="00840FF6"/>
    <w:rsid w:val="00841FDF"/>
    <w:rsid w:val="00846EB3"/>
    <w:rsid w:val="008509BF"/>
    <w:rsid w:val="00852C93"/>
    <w:rsid w:val="0085760C"/>
    <w:rsid w:val="00860548"/>
    <w:rsid w:val="008612A2"/>
    <w:rsid w:val="00863150"/>
    <w:rsid w:val="008671A8"/>
    <w:rsid w:val="0087413D"/>
    <w:rsid w:val="00877A6B"/>
    <w:rsid w:val="008845CF"/>
    <w:rsid w:val="008848DE"/>
    <w:rsid w:val="008856DD"/>
    <w:rsid w:val="00886B9D"/>
    <w:rsid w:val="0089000D"/>
    <w:rsid w:val="00891FAC"/>
    <w:rsid w:val="008A7DBD"/>
    <w:rsid w:val="008A7F50"/>
    <w:rsid w:val="008A7FBF"/>
    <w:rsid w:val="008B2C26"/>
    <w:rsid w:val="008C3C43"/>
    <w:rsid w:val="008C4E39"/>
    <w:rsid w:val="008C5719"/>
    <w:rsid w:val="008D7F7B"/>
    <w:rsid w:val="008E2C50"/>
    <w:rsid w:val="008E35C0"/>
    <w:rsid w:val="008E702B"/>
    <w:rsid w:val="00914254"/>
    <w:rsid w:val="00915BB1"/>
    <w:rsid w:val="009248D5"/>
    <w:rsid w:val="00933FDB"/>
    <w:rsid w:val="00947689"/>
    <w:rsid w:val="00981767"/>
    <w:rsid w:val="00994F24"/>
    <w:rsid w:val="00997517"/>
    <w:rsid w:val="009A0517"/>
    <w:rsid w:val="009A572C"/>
    <w:rsid w:val="009A7091"/>
    <w:rsid w:val="009A7B65"/>
    <w:rsid w:val="009B750F"/>
    <w:rsid w:val="009C062B"/>
    <w:rsid w:val="009E3489"/>
    <w:rsid w:val="009E37FE"/>
    <w:rsid w:val="009E4278"/>
    <w:rsid w:val="009F0B04"/>
    <w:rsid w:val="009F13DC"/>
    <w:rsid w:val="009F3D5F"/>
    <w:rsid w:val="009F739E"/>
    <w:rsid w:val="00A0497C"/>
    <w:rsid w:val="00A07512"/>
    <w:rsid w:val="00A07A9A"/>
    <w:rsid w:val="00A154C3"/>
    <w:rsid w:val="00A161FD"/>
    <w:rsid w:val="00A2216B"/>
    <w:rsid w:val="00A31369"/>
    <w:rsid w:val="00A428DE"/>
    <w:rsid w:val="00A4359D"/>
    <w:rsid w:val="00A43DCD"/>
    <w:rsid w:val="00A507D3"/>
    <w:rsid w:val="00A56E62"/>
    <w:rsid w:val="00A671B7"/>
    <w:rsid w:val="00A72137"/>
    <w:rsid w:val="00A7749F"/>
    <w:rsid w:val="00A805EC"/>
    <w:rsid w:val="00A82E94"/>
    <w:rsid w:val="00AB1674"/>
    <w:rsid w:val="00AB2091"/>
    <w:rsid w:val="00AC1D96"/>
    <w:rsid w:val="00AC30F3"/>
    <w:rsid w:val="00AC4A8C"/>
    <w:rsid w:val="00AC5F5B"/>
    <w:rsid w:val="00B05B10"/>
    <w:rsid w:val="00B210E9"/>
    <w:rsid w:val="00B211B7"/>
    <w:rsid w:val="00B232F5"/>
    <w:rsid w:val="00B27EFC"/>
    <w:rsid w:val="00B36261"/>
    <w:rsid w:val="00B4033C"/>
    <w:rsid w:val="00B40E2F"/>
    <w:rsid w:val="00B46930"/>
    <w:rsid w:val="00B71EFE"/>
    <w:rsid w:val="00B83D81"/>
    <w:rsid w:val="00B84116"/>
    <w:rsid w:val="00B84821"/>
    <w:rsid w:val="00B93ACF"/>
    <w:rsid w:val="00B93B54"/>
    <w:rsid w:val="00B97362"/>
    <w:rsid w:val="00BA26BE"/>
    <w:rsid w:val="00BB0CE1"/>
    <w:rsid w:val="00BB6B01"/>
    <w:rsid w:val="00BD513A"/>
    <w:rsid w:val="00BD79F6"/>
    <w:rsid w:val="00C14777"/>
    <w:rsid w:val="00C23514"/>
    <w:rsid w:val="00C267DB"/>
    <w:rsid w:val="00C33F86"/>
    <w:rsid w:val="00C35A6B"/>
    <w:rsid w:val="00C41512"/>
    <w:rsid w:val="00C4486A"/>
    <w:rsid w:val="00C45609"/>
    <w:rsid w:val="00C4616F"/>
    <w:rsid w:val="00C509BD"/>
    <w:rsid w:val="00C546CC"/>
    <w:rsid w:val="00C60346"/>
    <w:rsid w:val="00C62285"/>
    <w:rsid w:val="00C81AA7"/>
    <w:rsid w:val="00C92F2E"/>
    <w:rsid w:val="00CA3C4C"/>
    <w:rsid w:val="00CC3C1C"/>
    <w:rsid w:val="00CC3C2A"/>
    <w:rsid w:val="00CD0805"/>
    <w:rsid w:val="00CD4737"/>
    <w:rsid w:val="00CE0A8C"/>
    <w:rsid w:val="00CF1E0F"/>
    <w:rsid w:val="00CF7024"/>
    <w:rsid w:val="00D010A0"/>
    <w:rsid w:val="00D0662B"/>
    <w:rsid w:val="00D1074A"/>
    <w:rsid w:val="00D11823"/>
    <w:rsid w:val="00D320C1"/>
    <w:rsid w:val="00D326B1"/>
    <w:rsid w:val="00D360F1"/>
    <w:rsid w:val="00D40B30"/>
    <w:rsid w:val="00D5694A"/>
    <w:rsid w:val="00D616B8"/>
    <w:rsid w:val="00D667F8"/>
    <w:rsid w:val="00D71CEB"/>
    <w:rsid w:val="00D76E1C"/>
    <w:rsid w:val="00D92F97"/>
    <w:rsid w:val="00D966E9"/>
    <w:rsid w:val="00DB284C"/>
    <w:rsid w:val="00DB4A96"/>
    <w:rsid w:val="00DB70C8"/>
    <w:rsid w:val="00DC319E"/>
    <w:rsid w:val="00DE0AD9"/>
    <w:rsid w:val="00DE18EE"/>
    <w:rsid w:val="00DF1133"/>
    <w:rsid w:val="00DF47E6"/>
    <w:rsid w:val="00DF51DE"/>
    <w:rsid w:val="00DF5B6A"/>
    <w:rsid w:val="00DF692D"/>
    <w:rsid w:val="00E02F8B"/>
    <w:rsid w:val="00E060F2"/>
    <w:rsid w:val="00E132D6"/>
    <w:rsid w:val="00E13F58"/>
    <w:rsid w:val="00E300EC"/>
    <w:rsid w:val="00E372D2"/>
    <w:rsid w:val="00E41CD0"/>
    <w:rsid w:val="00E42450"/>
    <w:rsid w:val="00E44DDB"/>
    <w:rsid w:val="00E5095A"/>
    <w:rsid w:val="00E56607"/>
    <w:rsid w:val="00E65DB2"/>
    <w:rsid w:val="00E73388"/>
    <w:rsid w:val="00E7371F"/>
    <w:rsid w:val="00E75930"/>
    <w:rsid w:val="00E840E0"/>
    <w:rsid w:val="00E91936"/>
    <w:rsid w:val="00E9797E"/>
    <w:rsid w:val="00EA2F53"/>
    <w:rsid w:val="00EB05C4"/>
    <w:rsid w:val="00EB19D4"/>
    <w:rsid w:val="00EB2248"/>
    <w:rsid w:val="00EB68DA"/>
    <w:rsid w:val="00EB73A7"/>
    <w:rsid w:val="00EC0F17"/>
    <w:rsid w:val="00EC5695"/>
    <w:rsid w:val="00EC6A43"/>
    <w:rsid w:val="00ED115F"/>
    <w:rsid w:val="00ED58E4"/>
    <w:rsid w:val="00EF5BA2"/>
    <w:rsid w:val="00F06CD2"/>
    <w:rsid w:val="00F06F7E"/>
    <w:rsid w:val="00F10A45"/>
    <w:rsid w:val="00F168A2"/>
    <w:rsid w:val="00F2295A"/>
    <w:rsid w:val="00F31403"/>
    <w:rsid w:val="00F353BE"/>
    <w:rsid w:val="00F51753"/>
    <w:rsid w:val="00F533F1"/>
    <w:rsid w:val="00F61882"/>
    <w:rsid w:val="00F7190E"/>
    <w:rsid w:val="00F71C48"/>
    <w:rsid w:val="00F74642"/>
    <w:rsid w:val="00F82715"/>
    <w:rsid w:val="00FB2140"/>
    <w:rsid w:val="00FD09FB"/>
    <w:rsid w:val="00FD3BB8"/>
    <w:rsid w:val="00FD3BED"/>
    <w:rsid w:val="00FE25AA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0E"/>
  </w:style>
  <w:style w:type="paragraph" w:styleId="Footer">
    <w:name w:val="footer"/>
    <w:basedOn w:val="Normal"/>
    <w:link w:val="FooterChar"/>
    <w:uiPriority w:val="99"/>
    <w:unhideWhenUsed/>
    <w:rsid w:val="00F7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0E"/>
  </w:style>
  <w:style w:type="paragraph" w:styleId="BalloonText">
    <w:name w:val="Balloon Text"/>
    <w:basedOn w:val="Normal"/>
    <w:link w:val="BalloonTextChar"/>
    <w:uiPriority w:val="99"/>
    <w:semiHidden/>
    <w:unhideWhenUsed/>
    <w:rsid w:val="00F7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0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F533F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805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1A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111A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111A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11AD"/>
    <w:pPr>
      <w:spacing w:after="100"/>
      <w:ind w:left="440"/>
    </w:pPr>
    <w:rPr>
      <w:rFonts w:eastAsiaTheme="minorEastAsia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111AD"/>
  </w:style>
  <w:style w:type="paragraph" w:styleId="Caption">
    <w:name w:val="caption"/>
    <w:basedOn w:val="Normal"/>
    <w:next w:val="Normal"/>
    <w:uiPriority w:val="35"/>
    <w:unhideWhenUsed/>
    <w:qFormat/>
    <w:rsid w:val="00A43D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E060F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060F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78387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0B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0B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0BBF"/>
    <w:rPr>
      <w:vertAlign w:val="superscript"/>
    </w:rPr>
  </w:style>
  <w:style w:type="paragraph" w:styleId="Revision">
    <w:name w:val="Revision"/>
    <w:hidden/>
    <w:uiPriority w:val="99"/>
    <w:semiHidden/>
    <w:rsid w:val="00FE2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0E"/>
  </w:style>
  <w:style w:type="paragraph" w:styleId="Footer">
    <w:name w:val="footer"/>
    <w:basedOn w:val="Normal"/>
    <w:link w:val="FooterChar"/>
    <w:uiPriority w:val="99"/>
    <w:unhideWhenUsed/>
    <w:rsid w:val="00F7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0E"/>
  </w:style>
  <w:style w:type="paragraph" w:styleId="BalloonText">
    <w:name w:val="Balloon Text"/>
    <w:basedOn w:val="Normal"/>
    <w:link w:val="BalloonTextChar"/>
    <w:uiPriority w:val="99"/>
    <w:semiHidden/>
    <w:unhideWhenUsed/>
    <w:rsid w:val="00F7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0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F533F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805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1A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111A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111A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11AD"/>
    <w:pPr>
      <w:spacing w:after="100"/>
      <w:ind w:left="440"/>
    </w:pPr>
    <w:rPr>
      <w:rFonts w:eastAsiaTheme="minorEastAsia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111AD"/>
  </w:style>
  <w:style w:type="paragraph" w:styleId="Caption">
    <w:name w:val="caption"/>
    <w:basedOn w:val="Normal"/>
    <w:next w:val="Normal"/>
    <w:uiPriority w:val="35"/>
    <w:unhideWhenUsed/>
    <w:qFormat/>
    <w:rsid w:val="00A43D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E060F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060F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78387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0B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0B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0BBF"/>
    <w:rPr>
      <w:vertAlign w:val="superscript"/>
    </w:rPr>
  </w:style>
  <w:style w:type="paragraph" w:styleId="Revision">
    <w:name w:val="Revision"/>
    <w:hidden/>
    <w:uiPriority w:val="99"/>
    <w:semiHidden/>
    <w:rsid w:val="00FE2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privacyright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www12</b:Tag>
    <b:SourceType>InternetSite</b:SourceType>
    <b:Guid>{E490CA4A-241E-4F07-984A-5B762245FF79}</b:Guid>
    <b:Title>Privacy Rights Clearing House</b:Title>
    <b:YearAccessed>2012</b:YearAccessed>
    <b:MonthAccessed>09</b:MonthAccessed>
    <b:DayAccessed>15</b:DayAccessed>
    <b:URL>http://www.privacyrights.org/data-breach</b:URL>
    <b:Author>
      <b:Author>
        <b:Corporate>www.privacyrights.org</b:Corporate>
      </b:Author>
    </b:Author>
    <b:RefOrder>3</b:RefOrder>
  </b:Source>
  <b:Source>
    <b:Tag>Deb05</b:Tag>
    <b:SourceType>InternetSite</b:SourceType>
    <b:Guid>{521C26E1-A9DB-4235-A9E1-7E79C8ECBB99}</b:Guid>
    <b:Author>
      <b:Author>
        <b:NameList>
          <b:Person>
            <b:Last>Shinder</b:Last>
            <b:First>Deb</b:First>
          </b:Person>
        </b:NameList>
      </b:Author>
    </b:Author>
    <b:Title>How Do Compliance Issues Affect your Network?</b:Title>
    <b:ProductionCompany>WindowsSecurity.com</b:ProductionCompany>
    <b:Year>2005</b:Year>
    <b:Month>7</b:Month>
    <b:Day>12</b:Day>
    <b:URL>http://www.windowsecurity.com/articles/How-Do-Compliance-Issues-Affect-your-Network.html</b:URL>
    <b:RefOrder>1</b:RefOrder>
  </b:Source>
  <b:Source>
    <b:Tag>Deb11</b:Tag>
    <b:SourceType>Report</b:SourceType>
    <b:Guid>{96FE0A23-A921-407E-A8A3-FBD2C6F925F3}</b:Guid>
    <b:Title>Ensuring SecureDatabase Access</b:Title>
    <b:Year>2011</b:Year>
    <b:Author>
      <b:Author>
        <b:NameList>
          <b:Person>
            <b:Last>Donston-Miller</b:Last>
            <b:First>Debra</b:First>
          </b:Person>
        </b:NameList>
      </b:Author>
    </b:Author>
    <b:Publisher>InformationWeek</b:Publisher>
    <b:RefOrder>2</b:RefOrder>
  </b:Source>
  <b:Source>
    <b:Tag>Bas12</b:Tag>
    <b:SourceType>DocumentFromInternetSite</b:SourceType>
    <b:Guid>{E8CFF1DD-C982-4335-B17F-B213664AE643}</b:Guid>
    <b:Title>Basit's SQL Server Tips</b:Title>
    <b:Year>2012</b:Year>
    <b:Author>
      <b:Author>
        <b:NameList>
          <b:Person>
            <b:Last>Farooq</b:Last>
            <b:First>Basit</b:First>
          </b:Person>
        </b:NameList>
      </b:Author>
    </b:Author>
    <b:Month>June</b:Month>
    <b:Day>1</b:Day>
    <b:YearAccessed>2012</b:YearAccessed>
    <b:MonthAccessed>9</b:MonthAccessed>
    <b:DayAccessed>16</b:DayAccessed>
    <b:URL>http://www.sqlservercentral.com/blogs/basits-sql-server-tips/2012/06/01/sql-server-2008-security-best-practices/</b:URL>
    <b:RefOrder>8</b:RefOrder>
  </b:Source>
  <b:Source>
    <b:Tag>Adr12</b:Tag>
    <b:SourceType>Report</b:SourceType>
    <b:Guid>{64C80564-A05B-471B-AFC7-A32637DF84B9}</b:Guid>
    <b:Title>Strategies for Protecting Web-facing Databases</b:Title>
    <b:Year>2012</b:Year>
    <b:Author>
      <b:Author>
        <b:NameList>
          <b:Person>
            <b:Last>Lane</b:Last>
            <b:First>Adrian</b:First>
          </b:Person>
        </b:NameList>
      </b:Author>
    </b:Author>
    <b:Publisher>Information Week</b:Publisher>
    <b:RefOrder>4</b:RefOrder>
  </b:Source>
  <b:Source>
    <b:Tag>htt12</b:Tag>
    <b:SourceType>InternetSite</b:SourceType>
    <b:Guid>{695E9CE4-4A16-4956-A587-4B9D9462198A}</b:Guid>
    <b:Title>MSDN : SQL Server Developer Center</b:Title>
    <b:ProductionCompany>Microsoft</b:ProductionCompany>
    <b:YearAccessed>2012</b:YearAccessed>
    <b:MonthAccessed>09</b:MonthAccessed>
    <b:DayAccessed>27</b:DayAccessed>
    <b:URL>http://msdn.microsoft.com/en-us/library/ms161953(SQL.105).aspx</b:URL>
    <b:RefOrder>6</b:RefOrder>
  </b:Source>
  <b:Source>
    <b:Tag>Don08</b:Tag>
    <b:SourceType>JournalArticle</b:SourceType>
    <b:Guid>{EE28E847-C02A-4DCD-9DCF-6BA726894A4B}</b:Guid>
    <b:Title>Hack Your database Before the Hackers Do</b:Title>
    <b:Year>2008</b:Year>
    <b:Author>
      <b:Author>
        <b:NameList>
          <b:Person>
            <b:Last>Kiely</b:Last>
            <b:First>Don</b:First>
          </b:Person>
        </b:NameList>
      </b:Author>
    </b:Author>
    <b:JournalName>SQL Server Magazine</b:JournalName>
    <b:Pages>27</b:Pages>
    <b:Volume>10</b:Volume>
    <b:Issue>05</b:Issue>
    <b:RefOrder>9</b:RefOrder>
  </b:Source>
  <b:Source>
    <b:Tag>Den11</b:Tag>
    <b:SourceType>JournalArticle</b:SourceType>
    <b:Guid>{E20D3B4D-762A-4FBE-8265-33FFC0521443}</b:Guid>
    <b:Author>
      <b:Author>
        <b:NameList>
          <b:Person>
            <b:Last>Cherry</b:Last>
            <b:First>Denny</b:First>
          </b:Person>
        </b:NameList>
      </b:Author>
    </b:Author>
    <b:Title>Securing SQL Server data in the cloud: a few pointers</b:Title>
    <b:JournalName>Tech Target</b:JournalName>
    <b:Year>2011</b:Year>
    <b:RefOrder>7</b:RefOrder>
  </b:Source>
  <b:Source>
    <b:Tag>Mic12</b:Tag>
    <b:SourceType>DocumentFromInternetSite</b:SourceType>
    <b:Guid>{2012B08A-EEA2-4CC9-94F0-EF12F2D3F4FF}</b:Guid>
    <b:Author>
      <b:Author>
        <b:Corporate>Microsoft-MSDN</b:Corporate>
      </b:Author>
    </b:Author>
    <b:Title>Security Considerations for a SQL Server Installation</b:Title>
    <b:YearAccessed>2012</b:YearAccessed>
    <b:MonthAccessed>09</b:MonthAccessed>
    <b:DayAccessed>24</b:DayAccessed>
    <b:URL>http://msdn.microsoft.com/en-us/library/ms144228.aspx</b:URL>
    <b:RefOrder>10</b:RefOrder>
  </b:Source>
  <b:Source>
    <b:Tag>Che12</b:Tag>
    <b:SourceType>Book</b:SourceType>
    <b:Guid>{AE6975EB-4C38-49CA-BAFB-20C1F90C1265}</b:Guid>
    <b:Author>
      <b:Author>
        <b:NameList>
          <b:Person>
            <b:Last>Cherry</b:Last>
            <b:First>Denny</b:First>
          </b:Person>
        </b:NameList>
      </b:Author>
    </b:Author>
    <b:Title>Securing SQL server:Protecting Your Database from Attackers- Second Edition</b:Title>
    <b:Year>2012</b:Year>
    <b:Publisher>Syngress</b:Publisher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1ABEF9-A40C-49EC-A551-1564CFB7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Securing SQL Server</vt:lpstr>
    </vt:vector>
  </TitlesOfParts>
  <Company>Lewis University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SQL Server</dc:title>
  <dc:creator/>
  <cp:lastModifiedBy>OWNER</cp:lastModifiedBy>
  <cp:revision>94</cp:revision>
  <dcterms:created xsi:type="dcterms:W3CDTF">2012-09-30T15:19:00Z</dcterms:created>
  <dcterms:modified xsi:type="dcterms:W3CDTF">2012-10-05T02:37:00Z</dcterms:modified>
</cp:coreProperties>
</file>