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Major Case 1</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Adelphia Communications Corporation</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On July 24, 2009, the U.S. Court of Appeals for the District of Columbia upheld the finding of the SEC that Gregory M. Dearlove, a certified public accountant and formerly a partner with the accounting firm Deloitte &amp; Touche LLP, engaged in improper professional conduct within the meaning of Rule of Practice 102(e). Dearlove served as the engagement partner on Deloitte's audit of the financial statements of Adelphia Communications Corporation, a public company, for the fiscal year ended December 31, 2000. The SEC confirmed its original ruling that Adelphia's financial statements were not in accordance with generally accepted accounting principles, and that Dearlove violated generally accepted auditing standards. The administrative law judge (ALJ) also found that Dearlove was a cause of Adelphia's violations of the reporting and record-keeping provisions of the Exchange Act. The ALJ permanently denied Dearlove the privilege of appearing or practicing in any capacity before the commission.</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opinion for the court was filed by Judge Douglas H. Ginsburg of the U.S. Court of Appeals for the D.C. Circuit Court. The opinion states that the SEC concluded that Dearlove engaged repeatedly in unreasonable conduct resulting in violations of applicable accounting principles and standards while serving as Deloitte's engagement partner in charge of the 2000 audit of Adelphia. Dearlove had argued that the SEC committed an error of law, misapplied the applicable accounting principles and standards, and denied him due process. Because the SEC made no error of law, and substantial evidence supports its findings of fact, the court denied the petition.</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Background Issues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John Rigas had founded Adelphia, the Greek word for brothers, in 1952, and Rigas and his children were the controlling shareholders in 2000. By the year 2000, Adelphia was one of the largest cable television companies in the United States. It had doubled the number of cable subscribers that it served by acquiring several other cable companies in late 1999. Although its assets were growing, Adelphia's debt grew substantially as well. The SEC found that, prior to 2000, Adelphia, its subsidiaries, and some Rigas-affiliated entities entered as coborrowers into a series of credit agreements. By 1999, Adelphia and the entities had obtained $1.05 billion in credit; in 2000, they tripled their available credit and drew down essentially all the funds available under the agreements.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Deloitte audited Adelphia's financial statements from 1980 through 2002, with Dearlove as the engagement partner. Dearlove and the Deloitte team described the 2000 audit, like many prior audits of Adelphia, as posing "much greater than normal risk" because Adelphia engaged in numerous transactions with subsidiaries and affiliated entities, many of which were owned by members of the Rigas family.</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Deloitte issued its year 2000 independent auditor's report of Adelphia—signed by Dearlove—on March 29, 2001. In January 2002, in the wake of the Enron scandal, the SEC released a statement regarding the disclosure of related-party transactions. In March, Adelphia disclosed its obligations as co-debtor with the Rigas entities. Its share price declined from $30 in January 2002 to $0.30 in June, when it was delisted by the National Association of Securities Dealers (NASDAQ). In September 2002, the U.S. Department of Justice (DOJ) brought criminal fraud charges against Adelphia officials, including members of the Rigas family, and Adelphia agreed to pay $715 million into a victims' restitution fund as part of a settlement with the government. In April 2005 the SEC brought and settled civil actions against Adelphia, members of the Rigas family, and Deloitte.</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SEC Charges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 xml:space="preserve">In September 2005, the SEC charged Dearlove with improper conduct resulting in a violation of applicable professional standards, including his approval of Adelphia's method of accounting for transactions between itself and one or more Rigas entities (i.e., related-party transactions). The matter was referred to the ALJ, who presided at an administrative trial-type hearing to resolve the dispute between the SEC and Adelphia. The ALJ determined Dearlove had engaged in one instance of "highly unreasonable" conduct and repeated instances of "unreasonable" conduct, and permanently denied Dearlove the right to practice before the SEC. Upon review of the ALJ's decision, the SEC held Dearlove had engaged in repeated instances of unreasonable conduct as defined under Rule 102 and denied him the right to practice before the SEC, but provided him the </w:t>
      </w:r>
      <w:r w:rsidRPr="00C20A84">
        <w:rPr>
          <w:rFonts w:ascii="Helvetica" w:eastAsia="Times New Roman" w:hAnsi="Helvetica" w:cs="Helvetica"/>
          <w:color w:val="3D3D3D"/>
          <w:sz w:val="21"/>
          <w:szCs w:val="21"/>
        </w:rPr>
        <w:lastRenderedPageBreak/>
        <w:t>opportunity to apply for reinstatement after four years. Dearlove petitioned for review of that decision, which was denied by the U.S. Court of Appeals.</w:t>
      </w:r>
      <w:r w:rsidRPr="00C20A84">
        <w:rPr>
          <w:rFonts w:ascii="inherit" w:eastAsia="Times New Roman" w:hAnsi="inherit" w:cs="Helvetica"/>
          <w:b/>
          <w:bCs/>
          <w:color w:val="3D3D3D"/>
          <w:sz w:val="21"/>
          <w:szCs w:val="21"/>
          <w:bdr w:val="none" w:sz="0" w:space="0" w:color="auto" w:frame="1"/>
        </w:rPr>
        <w:t>1</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549</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SEC Rule 102(e) provides the SEC may "deny, temporarily or permanently, the privilege of appearing or practicing before [the SEC] in any way to any person who is found by the Commission . . . to have engaged in unethical or improper professional conduct." The rule defines three classes of "improper professional conduct" for accountants: (1) "intentional or knowing conduct, including reckless conduct, that results in a violation of applicable professional standards," (2) "a single instance of highly unreasonable conduct that results in a violation of applicable professional standards," and (3) "repeated instances of unreasonable conduct, each resulting in a violation of applicable professional standards, that indicate a lack of competence to practice before the Commission." The court supported the SEC's determination that Dearlove repeatedly engaged in unreasonable conduct.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While most of the alleged fraud at Adelphia took its form in hidden debt, the trial was also notable for examples of the eye-popping personal luxury that has marked other white-collar trials such as at Tyco.</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In the court case, prosecutor Christopher Clark led off his closing argument by saying John Rigas had ordered two Christmas trees flown to New York, at a cost of $6,000, for his daughter. Rigas also ordered up 17 company cars and the company purchase of 3,600 acres of timberland at a cost of $26 million to preserve the pristine view outside his Coudersport, Pennsylvania, home. Timothy Rigas, the CFO, had become so concerned that he limited his father to withdrawals of $1 million per month.</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Deloitte's Audit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Deloitte served as the independent auditor for Adelphia, one of its largest audit clients, from 1980 through 2002. The audits were complex. Several of Adelphia's subsidiaries filed their own Form 10-K annual reports with the SEC. For several years, Deloitte had concluded that the Adelphia engagement posed a "much greater than normal" risk of fraud, misstatement, or error; this was the highest risk category that Deloitte recognized. Risk factors that Deloitte specifically identified in reaching this assessment for the 2000 audit included the following:</w:t>
      </w:r>
      <w:r w:rsidRPr="00C20A84">
        <w:rPr>
          <w:rFonts w:ascii="inherit" w:eastAsia="Times New Roman" w:hAnsi="inherit" w:cs="Helvetica"/>
          <w:b/>
          <w:bCs/>
          <w:color w:val="3D3D3D"/>
          <w:sz w:val="21"/>
          <w:szCs w:val="21"/>
          <w:bdr w:val="none" w:sz="0" w:space="0" w:color="auto" w:frame="1"/>
        </w:rPr>
        <w:t>2</w:t>
      </w:r>
    </w:p>
    <w:p w:rsidR="00C20A84" w:rsidRPr="00C20A84" w:rsidRDefault="00C20A84" w:rsidP="00C20A84">
      <w:pPr>
        <w:numPr>
          <w:ilvl w:val="0"/>
          <w:numId w:val="1"/>
        </w:numPr>
        <w:spacing w:after="0" w:line="240" w:lineRule="auto"/>
        <w:ind w:left="180"/>
        <w:textAlignment w:val="baseline"/>
        <w:rPr>
          <w:rFonts w:ascii="inherit" w:eastAsia="Times New Roman" w:hAnsi="inherit" w:cs="Helvetica"/>
          <w:color w:val="3D3D3D"/>
          <w:sz w:val="21"/>
          <w:szCs w:val="21"/>
        </w:rPr>
      </w:pPr>
      <w:r w:rsidRPr="00C20A84">
        <w:rPr>
          <w:rFonts w:ascii="inherit" w:eastAsia="Times New Roman" w:hAnsi="inherit" w:cs="Helvetica"/>
          <w:color w:val="3D3D3D"/>
          <w:sz w:val="21"/>
          <w:szCs w:val="21"/>
        </w:rPr>
        <w:t>Adelphia operated in a volatile industry, expanded rapidly, and had a large number of decentralized operating entities with a complex reporting structure.</w:t>
      </w:r>
    </w:p>
    <w:p w:rsidR="00C20A84" w:rsidRPr="00C20A84" w:rsidRDefault="00C20A84" w:rsidP="00C20A84">
      <w:pPr>
        <w:numPr>
          <w:ilvl w:val="0"/>
          <w:numId w:val="1"/>
        </w:numPr>
        <w:spacing w:after="0" w:line="240" w:lineRule="auto"/>
        <w:ind w:left="180"/>
        <w:textAlignment w:val="baseline"/>
        <w:rPr>
          <w:rFonts w:ascii="inherit" w:eastAsia="Times New Roman" w:hAnsi="inherit" w:cs="Helvetica"/>
          <w:color w:val="3D3D3D"/>
          <w:sz w:val="21"/>
          <w:szCs w:val="21"/>
        </w:rPr>
      </w:pPr>
      <w:r w:rsidRPr="00C20A84">
        <w:rPr>
          <w:rFonts w:ascii="inherit" w:eastAsia="Times New Roman" w:hAnsi="inherit" w:cs="Helvetica"/>
          <w:color w:val="3D3D3D"/>
          <w:sz w:val="21"/>
          <w:szCs w:val="21"/>
        </w:rPr>
        <w:t>Adelphia carried substantial debt and was near the limit of its financial resources, making it critical that the company comply with debt covenants.</w:t>
      </w:r>
    </w:p>
    <w:p w:rsidR="00C20A84" w:rsidRPr="00C20A84" w:rsidRDefault="00C20A84" w:rsidP="00C20A84">
      <w:pPr>
        <w:numPr>
          <w:ilvl w:val="0"/>
          <w:numId w:val="1"/>
        </w:numPr>
        <w:spacing w:after="0" w:line="240" w:lineRule="auto"/>
        <w:ind w:left="180"/>
        <w:textAlignment w:val="baseline"/>
        <w:rPr>
          <w:rFonts w:ascii="inherit" w:eastAsia="Times New Roman" w:hAnsi="inherit" w:cs="Helvetica"/>
          <w:color w:val="3D3D3D"/>
          <w:sz w:val="21"/>
          <w:szCs w:val="21"/>
        </w:rPr>
      </w:pPr>
      <w:r w:rsidRPr="00C20A84">
        <w:rPr>
          <w:rFonts w:ascii="inherit" w:eastAsia="Times New Roman" w:hAnsi="inherit" w:cs="Helvetica"/>
          <w:color w:val="3D3D3D"/>
          <w:sz w:val="21"/>
          <w:szCs w:val="21"/>
        </w:rPr>
        <w:t>Management of Adelphia was concentrated in a small group without compensating controls.</w:t>
      </w:r>
    </w:p>
    <w:p w:rsidR="00C20A84" w:rsidRPr="00C20A84" w:rsidRDefault="00C20A84" w:rsidP="00C20A84">
      <w:pPr>
        <w:numPr>
          <w:ilvl w:val="0"/>
          <w:numId w:val="1"/>
        </w:numPr>
        <w:spacing w:after="0" w:line="240" w:lineRule="auto"/>
        <w:ind w:left="180"/>
        <w:textAlignment w:val="baseline"/>
        <w:rPr>
          <w:rFonts w:ascii="inherit" w:eastAsia="Times New Roman" w:hAnsi="inherit" w:cs="Helvetica"/>
          <w:color w:val="3D3D3D"/>
          <w:sz w:val="21"/>
          <w:szCs w:val="21"/>
        </w:rPr>
      </w:pPr>
      <w:r w:rsidRPr="00C20A84">
        <w:rPr>
          <w:rFonts w:ascii="inherit" w:eastAsia="Times New Roman" w:hAnsi="inherit" w:cs="Helvetica"/>
          <w:color w:val="3D3D3D"/>
          <w:sz w:val="21"/>
          <w:szCs w:val="21"/>
        </w:rPr>
        <w:t>Adelphia management lacked technical accounting expertise but nevertheless appeared willing to accept unusually high levels of risk, tended to interpret accounting standards aggressively, and was reluctant to record adjustments proposed by auditors.</w:t>
      </w:r>
    </w:p>
    <w:p w:rsidR="00C20A84" w:rsidRPr="00C20A84" w:rsidRDefault="00C20A84" w:rsidP="00C20A84">
      <w:pPr>
        <w:numPr>
          <w:ilvl w:val="0"/>
          <w:numId w:val="1"/>
        </w:numPr>
        <w:spacing w:after="0" w:line="240" w:lineRule="auto"/>
        <w:ind w:left="180"/>
        <w:textAlignment w:val="baseline"/>
        <w:rPr>
          <w:rFonts w:ascii="inherit" w:eastAsia="Times New Roman" w:hAnsi="inherit" w:cs="Helvetica"/>
          <w:color w:val="3D3D3D"/>
          <w:sz w:val="21"/>
          <w:szCs w:val="21"/>
        </w:rPr>
      </w:pPr>
      <w:r w:rsidRPr="00C20A84">
        <w:rPr>
          <w:rFonts w:ascii="inherit" w:eastAsia="Times New Roman" w:hAnsi="inherit" w:cs="Helvetica"/>
          <w:color w:val="3D3D3D"/>
          <w:sz w:val="21"/>
          <w:szCs w:val="21"/>
        </w:rPr>
        <w:t>Adelphia engaged in significant related-party transactions with affiliated entities that Deloitte would not be auditing.</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550</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To help manage the audit risk, Deloitte planned, among other things, to increase Deloitte's management involvement at all stages of the audit "to ensure that the appropriate work is planned and its performance is properly supervised." It also proposed to heighten professional skepticism "to ensure that accounting estimates, related-party transactions, and transactions in the normal course of business appear reasonable and are appropriately identified and disclosed."</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On March 29, 2001, Deloitte issued its independent auditor's report, signed by Dearlove, which stated that it had conducted its audit in accordance with GAAS and that such audit provided a reasonable basis for its opinion that Adelphia's 2000 financial statements fairly presented Adelphia's financial position in conformity with GAAP.</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Charges against Rigas Family and Deloitte</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 xml:space="preserve">In the wake of Adelphia's decline, the DOJ brought criminal fraud charges against several members of the Rigas family and other Adelphia officials. The DOJ declined to file criminal charges against </w:t>
      </w:r>
      <w:r w:rsidRPr="00C20A84">
        <w:rPr>
          <w:rFonts w:ascii="Helvetica" w:eastAsia="Times New Roman" w:hAnsi="Helvetica" w:cs="Helvetica"/>
          <w:color w:val="3D3D3D"/>
          <w:sz w:val="21"/>
          <w:szCs w:val="21"/>
        </w:rPr>
        <w:lastRenderedPageBreak/>
        <w:t>Adelphia as part of a settlement in which Adelphia agreed to pay $715 million in stock and cash to a victims' restitution fund once the company emerged from bankruptcy.</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551</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brought several actions related to the decline of Adelphia. On April 25, 2005, Adelphia, John Rigas, and Rigas's three sons settled a civil injunctive action in which the respondents, without admitting or denying the allegations against them, were enjoined from committing or causing further violations of the anti-fraud, reporting, record-keeping, and internal controls provisions of the federal securities laws.</w:t>
      </w:r>
      <w:r w:rsidRPr="00C20A84">
        <w:rPr>
          <w:rFonts w:ascii="inherit" w:eastAsia="Times New Roman" w:hAnsi="inherit" w:cs="Helvetica"/>
          <w:b/>
          <w:bCs/>
          <w:color w:val="3D3D3D"/>
          <w:sz w:val="21"/>
          <w:szCs w:val="21"/>
          <w:bdr w:val="none" w:sz="0" w:space="0" w:color="auto" w:frame="1"/>
        </w:rPr>
        <w:t>3</w:t>
      </w:r>
      <w:r w:rsidRPr="00C20A84">
        <w:rPr>
          <w:rFonts w:ascii="Helvetica" w:eastAsia="Times New Roman" w:hAnsi="Helvetica" w:cs="Helvetica"/>
          <w:color w:val="3D3D3D"/>
          <w:sz w:val="21"/>
          <w:szCs w:val="21"/>
        </w:rPr>
        <w:t> The next day, the commission instituted and settled administrative proceedings against Deloitte under Rule 102(e). Without admitting or denying the commission's allegations, Deloitte consented to the entry of findings that it engaged in repeated instances of unreasonable conduct with respect to the audit of Adelphia's 2000 financial statements. Deloitte also consented to a finding that it caused Adelphia's violations of those provisions of the Securities and Exchange Act that require issuers to file annual reports, make and keep accurate books and records, and devise and maintain a system of sufficient internal controls. Deloitte agreed to pay a $25 million penalty and to implement various prophylactic policies and procedures. The commission also settled a civil action, based on the same conduct, in which Deloitte agreed to pay another $25 million penalty. Senior manager William Caswell consented to commission findings that he committed repeated instances of unreasonable conduct and agreed to a bar from appearing or practicing as an accountant before the commission with a right to apply for reinstatement after two years.</w:t>
      </w:r>
      <w:r w:rsidRPr="00C20A84">
        <w:rPr>
          <w:rFonts w:ascii="inherit" w:eastAsia="Times New Roman" w:hAnsi="inherit" w:cs="Helvetica"/>
          <w:b/>
          <w:bCs/>
          <w:color w:val="3D3D3D"/>
          <w:sz w:val="21"/>
          <w:szCs w:val="21"/>
          <w:bdr w:val="none" w:sz="0" w:space="0" w:color="auto" w:frame="1"/>
        </w:rPr>
        <w:t>4</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Violation of GAAS: General, Fieldwork, and Reporting Standards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In determining whether to discipline an accountant under Rule 102(e)(1)(iv), the commission has consistently measured auditors' conduct by their adherence to or deviation from GAAS. Certain audit conditions require auditors to increase their professional care and skepticism, as when the audit presents a risk of material misstatement or fraud. When an audit includes review of related-party transactions, auditors must tailor their examinations to obtain satisfaction concerning the purpose, nature, and extent of those transactions on the financial statements. Unless and until an auditor obtains an understanding of the business purpose of material related-party transactions, the audit is not complete. These standards can overlap somewhat, and one GAAS failure may contribute to another.</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asked the court to compare the reasonableness of his conduct to a standard used by New York state courts in professional negligence cases, that the standard for determining negligence by an accountant should be based on whether the respondent "use[d] the same degree of skill and care that other [accountants] in the community would reasonably use in the same situation." Dearlove believed that his actions should be judged in the context of the large, complex Adelphia audit and to determine whether he exercised the degree of skill and care, including professional skepticism, that a reasonable engagement partner would have used in similar circumstances. Dearlove contended that this analysis "necessarily includes . . . conclusions previously reached by other professionals," a reference to the Adelphia audits that Deloitte conducted from 1994 through 1999. Dearlove asserted that he could place some reliance on audit precedent. Moreover, in his view, the fact that prior auditors reached the same conclusions was "compelling evidence" that Dearlove acted reasonably. The court rejected any suggestion that the conduct of prior auditors should be a substitute for the standards established by GAAS, ruling that "these standards apply to audits of all sizes and all levels of complexity and describe the conduct that the accounting profession itself has established as reasonable, provid[ing] a measure of audit quality and the objectives to be achieved in an audit." The court, therefore, declined to create a separate standard of professional conduct for auditors that depends in each case on the behavior of a particular auditor's predecessors.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found that prior Deloitte audits offered little support for the conclusions reached in the 2000 audit. The record did not describe how the audits of prior financial statements were performed or what evidential matter supported those audit conclusions. Moreover, Dearlove's expert, while arguing that partner rotation does not require the new auditor to perform a "de novo audit of the client," nevertheless explained that an engagement partner "would perform . . . new audit procedures or GAAP research and consultation . . . to address changed conditions or professional standards." In 2000, Dearlove was presented with markedly different circumstances from those presented to prior teams: Since 1999, Adelphia had tripled its coborrowed debt, doubled its revenues and operating expenses, and acquired more cable subscribers. The changes implicated areas of the Adelphia audit that Deloitte had specifically identified as posing high risk—namely, its rapid expansion, substantial debt load, and significant related-party transactions. Therefore, the court rejected Dearlove's argument that the similarity of prior audit conclusions lent reasonableness to his own audit and found no reason to reject GAAS as the standard by which we judge all audits.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Violation of Accounting and Reporting Standards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Having determined that Dearlove's conduct was unreasonable, the SEC turned to the applicable professional accounting and reporting standards. The GAAS required that when an audit posed greater than normal risk—as Dearlove had determined the Adelphia audit did—there must be "more extensive supervision by the auditor with final responsibility for the engagement during both the planning and conduct of the engagement." The SEC found no evidence in the audit workpapers or elsewhere in the record that Dearlove gave any consideration to the propriety of at least three separate transactions: (1) offsetting of receivables and payables, (2) reporting of coborrowed debt, and (3) direct placement of stock transactions.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Offsetting Receivables and Payables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Accounting Principles Board Opinion No. 10 states that "it is a general principle of accounting that the offsetting of assets and liabilities in the balance sheet is improper except where a right of setoff exists." Rule 5-02 of the commission's Regulation S-X requires that issuers "state separately" amounts payable and receivable. Interpretation 39, Offsetting of Amounts Related to Certain Contracts, defines a right of setoff as "a debtor's legal right, by contract or otherwise, to discharge all or a portion of the debt of another party by applying against the debt an amount that the other party owes to the debtor. The Interpretation is consistent with Rule 5-02.</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court had concluded that Adelphia's presentation of a net figure for its related-party payables and receivables violated GAAP. Because Adelphia netted the accounts payable and receivable of its various subsidiaries against the accounts payable and receivable of various Rigas entities on a global basis, it did not comport with Interpretation 39's basic requirement that netting is appropriate only when two unrelated parties are involved.</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552</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held Adelphia violated GAAP because its netting involved more than two parties: "Adelphia netted the accounts payable and receivable of its various subsidiaries against the accounts payable and receivable of various Rigas Entities on a global basis . . . [and] netting is appropriate only when two parties are involved."</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analyzed the record and determined that Dearlove's conduct was unreasonable in the circumstances and that it resulted in a violation of professional standards—both GAAS and GAAP. Because GAAS focuses upon an auditor's performance and requires him to exercise due professional care, the commission rejected Dearlove's attempt to fault the SEC for marshaling the same evidence to show that his conduct was unreasonable and that he failed to exercise due professional care in performing the audit.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Coborrowed Debt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Between 1996 and 2000, several Adelphia subsidiaries and some of the Rigas entities had entered as coborrowers into a series of three credit agreements with a consortium of banks. Although the agreements differed in the amount of credit available, their terms were substantially the same: each borrower provided collateral for the loan; each could draw funds under the loan agreement; and each was jointly and severally liable for the entire amount of funds drawn down under the agreement, regardless of which entity drew down the amount. By year-end 2000, the total amount of coborrowed funds drawn under the credit agreements was $3.751 billion, more than triple the $1.025 billion borrowed at year-end 1999. Of this amount, Adelphia subsidiaries had drawn approximately $2.1 billion, and Rigas entities had drawn $1.6 billion.</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Generally, an issuer must accrue on its balance sheet a debt for which it is the primary obligor. However, when an issuer deems itself to be merely contingently liable for a debt, </w:t>
      </w:r>
      <w:r w:rsidRPr="00C20A84">
        <w:rPr>
          <w:rFonts w:ascii="inherit" w:eastAsia="Times New Roman" w:hAnsi="inherit" w:cs="Helvetica"/>
          <w:i/>
          <w:iCs/>
          <w:color w:val="3D3D3D"/>
          <w:sz w:val="21"/>
          <w:szCs w:val="21"/>
          <w:bdr w:val="none" w:sz="0" w:space="0" w:color="auto" w:frame="1"/>
        </w:rPr>
        <w:t>Statement of Financial Accounting Standards (SFAS) 5</w:t>
      </w:r>
      <w:r w:rsidRPr="00C20A84">
        <w:rPr>
          <w:rFonts w:ascii="Helvetica" w:eastAsia="Times New Roman" w:hAnsi="Helvetica" w:cs="Helvetica"/>
          <w:color w:val="3D3D3D"/>
          <w:sz w:val="21"/>
          <w:szCs w:val="21"/>
        </w:rPr>
        <w:t> provides the appropriate accounting and reporting treatment for that liability.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establishes a three-tiered system for determining the appropriate accounting treatment of a contingent liability, based on the likelihood that the issuer will suffer a loss—that is, be required to pay the debt for which it is contingently liable. If a loss is </w:t>
      </w:r>
      <w:r w:rsidRPr="00C20A84">
        <w:rPr>
          <w:rFonts w:ascii="inherit" w:eastAsia="Times New Roman" w:hAnsi="inherit" w:cs="Helvetica"/>
          <w:i/>
          <w:iCs/>
          <w:color w:val="3D3D3D"/>
          <w:sz w:val="21"/>
          <w:szCs w:val="21"/>
          <w:bdr w:val="none" w:sz="0" w:space="0" w:color="auto" w:frame="1"/>
        </w:rPr>
        <w:t>probable</w:t>
      </w:r>
      <w:r w:rsidRPr="00C20A84">
        <w:rPr>
          <w:rFonts w:ascii="Helvetica" w:eastAsia="Times New Roman" w:hAnsi="Helvetica" w:cs="Helvetica"/>
          <w:color w:val="3D3D3D"/>
          <w:sz w:val="21"/>
          <w:szCs w:val="21"/>
        </w:rPr>
        <w:t> (i.e., likely) and its amount can be reasonably estimated, the liability should be accrued on the issuer's financial statements as if the issuer were the primary obligor for the debt. If the likelihood of loss is only </w:t>
      </w:r>
      <w:r w:rsidRPr="00C20A84">
        <w:rPr>
          <w:rFonts w:ascii="inherit" w:eastAsia="Times New Roman" w:hAnsi="inherit" w:cs="Helvetica"/>
          <w:i/>
          <w:iCs/>
          <w:color w:val="3D3D3D"/>
          <w:sz w:val="21"/>
          <w:szCs w:val="21"/>
          <w:bdr w:val="none" w:sz="0" w:space="0" w:color="auto" w:frame="1"/>
        </w:rPr>
        <w:t>reasonably possible</w:t>
      </w:r>
      <w:r w:rsidRPr="00C20A84">
        <w:rPr>
          <w:rFonts w:ascii="Helvetica" w:eastAsia="Times New Roman" w:hAnsi="Helvetica" w:cs="Helvetica"/>
          <w:color w:val="3D3D3D"/>
          <w:sz w:val="21"/>
          <w:szCs w:val="21"/>
        </w:rPr>
        <w:t> (defined as more than remote but less than likely), or if the loss is probable but not estimable, the issuer need not accrue the loss but should disclose the nature of the contingency and give an estimate of the possible loss or range of loss or state that such an estimate cannot be made. The issuer still must disclose the "nature and amount" of the liability, even if the likelihood of loss is only </w:t>
      </w:r>
      <w:r w:rsidRPr="00C20A84">
        <w:rPr>
          <w:rFonts w:ascii="inherit" w:eastAsia="Times New Roman" w:hAnsi="inherit" w:cs="Helvetica"/>
          <w:i/>
          <w:iCs/>
          <w:color w:val="3D3D3D"/>
          <w:sz w:val="21"/>
          <w:szCs w:val="21"/>
          <w:bdr w:val="none" w:sz="0" w:space="0" w:color="auto" w:frame="1"/>
        </w:rPr>
        <w:t>remote</w:t>
      </w:r>
      <w:r w:rsidRPr="00C20A84">
        <w:rPr>
          <w:rFonts w:ascii="Helvetica" w:eastAsia="Times New Roman" w:hAnsi="Helvetica" w:cs="Helvetica"/>
          <w:color w:val="3D3D3D"/>
          <w:sz w:val="21"/>
          <w:szCs w:val="21"/>
        </w:rPr>
        <w:t> (slight).</w:t>
      </w:r>
      <w:r w:rsidRPr="00C20A84">
        <w:rPr>
          <w:rFonts w:ascii="inherit" w:eastAsia="Times New Roman" w:hAnsi="inherit" w:cs="Helvetica"/>
          <w:b/>
          <w:bCs/>
          <w:color w:val="3D3D3D"/>
          <w:sz w:val="21"/>
          <w:szCs w:val="21"/>
          <w:bdr w:val="none" w:sz="0" w:space="0" w:color="auto" w:frame="1"/>
        </w:rPr>
        <w:t>5</w:t>
      </w:r>
      <w:r w:rsidRPr="00C20A84">
        <w:rPr>
          <w:rFonts w:ascii="Helvetica" w:eastAsia="Times New Roman" w:hAnsi="Helvetica" w:cs="Helvetica"/>
          <w:color w:val="3D3D3D"/>
          <w:sz w:val="21"/>
          <w:szCs w:val="21"/>
        </w:rPr>
        <w:t> From 1997 through 1999, Adelphia had included in the liabilities recorded on its balance sheet the amount that its own subsidiaries had borrowed, but it did not consider itself the primary obligor for the amount that the Rigas entities had borrowed and therefore did not include that amount on its balance sheet. Instead, Adelphia accounted for the amounts borrowed by the Rigas entities by making the following disclosure in the footnotes to its financial statements: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Certain subsidiaries of Adelphia are coborrowers with Managed Partnerships (i.e., Rigas entities) under credit facilities for borrowings of up to [the total amount of all coborrowed debt available to Adelphia and the Rigas entities that year]. Each of the coborrowers is liable for all borrowings under this credit agreement, although the lenders have no recourse against Adelphia other than against Adelphia's interest in such subsidiaries.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553</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Deloitte had approved this treatment in the audits it conducted from 1997 to 1999.</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knew that Adelphia considered the Rigas entities's debt to be a contingent liability for which its chances of suffering a loss were merely remote, making accrual on the balance sheet unnecessary pursuant to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Deloitte created no workpapers documenting its examination of Adelphia's decision. However, from the record, it appears that Deloitte considered the matter and focused its review on the likelihood, as defined by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that Adelphia would have to pay Rigas entities's share of coborrowed debt.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also believed that, although the Rigas family was not legally obligated to contribute funds in the event of a default by the coborrowers, the family would be economically compelled to protect their Adelphia holdings by stepping in to prevent a default by the entities. Dearlove did not, however, conduct any inquiry into whether the family would, in fact, use their personal assets to prevent a default by Adelphia. Dearlove estimated the value of the Rigas family's holdings of Adelphia stock by multiplying the number of shares the Rigases owned by the price per Class A share, resulting in a figure of approximately $2.3 billion, which he concluded was by itself ample to cover the debt and conclude his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analysis. However, Dearlove did not determine if these Rigas family assets were already encumbered by other debt; he saw no financial statements or other proof of the family's financial condition other than local media reports that the Rigases "were billionaires." Dearlove testified that he "never asked them: Are you worth $2 billion, $3 billion, or $10 billion?" Dearlove also did not consider whether disposing of some or all of the family's stock in Adelphia might result in a downward spiral in the stock's value or in a change in their control of the company, in the event of a default by the entities under the coborrowing agreements.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testified that, at the end of the 2000 audit, he spoke to senior manager Caswell for about 15 minutes regarding the requirements of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During this meeting, they concluded that "the assets of the cable systems and the Adelphia common stock that the Rigases owned exceeded the amount of debt that was on the coborrowed entities, and the overhang . . . exceeded the coborrowing by hundreds of millions if not billions of dollars." Dearlove testified that, although other assets could have been included in an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analysis, these two assets alone were sufficient to allow the auditors to conclude that Adelphia's contingent liability was remote. Deloitte therefore approved Adelphia's decision to exclude Rigas entities's $1.6 billion in coborrowed debt from its balance sheet and to instead disclose the debt in a footnote to the financial statements.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When it reviewed the adequacy of the note disclosure that Adelphia planned to use (which was identical to the language it had used in previous years), the audit team initially believed the disclosure should be revised. During the 2000 quarterly reviews, audit manager Ivan Hofmann and others had repeatedly encouraged Adelphia management to disclose the specific dollar amount of Rigas entities's coborrowings, but Adelphia continually ignored Deloitte's suggestions. Although Deloitte was unaware of it at the time, Adelphia management was working purposefully to obfuscate the disclosure of Rigas entities's coborrowed debt.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In November 2000, at a third-quarter wrap-up meeting attended by Dearlove, Caswell, and Hofmann, Adelphia management (including Adelphia's vice president of finance, James Brown) agreed to make disclosures regarding the amounts borrowed by the Rigas entities under the coborrowing agreements. Caswell and Hofmann subsequently suggested improvements to the note disclosure in written comments on at least six drafts of the 10-K; they proposed adding language that would distinguish the amount of borrowings by Adelphia subsidiaries and Rigas entities, such as the following: "A total of $—— related to such credit agreements is included in the company's consolidated balance sheet at December 31, 2000. The [Rigas] entities have outstanding borrowings of $—— as of December 31, 2000, under such facilities."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At the end of March 2001, as Deloitte was concluding its audit of the 2000 financials, Brown—despite his agreement in November 2000 to disclose the amount of Rigas entities's borrowing—informed the audit team that he did not think that the additional disclosure was necessary. Instead, Brown proposed adding a phrase explaining that each of the coborrowers "may borrow up to the entire amount available under the credit facility." Brown argued that his proposed language was more accurate than Deloitte's proposal because the lines of credit could fluctuate and, as a result, it would be better to disclose Adelphia's maximum possible exposure. Caswell agreed to take Brown's language back to the engagement team, but he told Brown that he did not agree with Brown and did not think that Deloitte would accept his proposed language.</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554</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Notwithstanding Caswell's reaction, Brown soon afterward presented his proposed language to the audit team, including Dearlove, Caswell, and Hofmann, during the audit exit meeting on March 30, 2001. Brown claimed that his proposed disclosure language had been discussed with, and approved by, Adelphia's outside counsel. Although Dearlove characterized the disclosure issue as "really one of the more minor points that [the audit team was] trying to reconcile at that point," the ALJ did not accept this testimony. Dearlove testified that he was "concerned" about "making it clear to the reader how much Adelphia could be guaranteeing," and that Brown's language was "more conservative" but "wasn't necessarily what we were attempting to help clarify." Dearlove also testified that he told Brown, "I don't understand how that [proposed change] enhances the note" but that, after "an exchange back and forth relative to that," Dearlove "couldn't persuade him as to what he wanted." Nevertheless, Dearlove told Brown that he agreed with the proposal and approved the change. Caswell and Hofmann also indicated their agreement.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Adelphia's note disclosure of the coborrowed debt, as it appeared in its 2000 Form 10-K with Brown's added language, read as follows: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Certain subsidiaries of Adelphia are coborrowers with Managed Entities under credit facilities for borrowings of up to $3,751,250,000. Each of the coborrowers is liable for all borrowings under the credit agreements, and may borrow up to the entire amount of the available credit under the facility. The lenders have no recourse against Adelphia other than against Adelphia's interest in such subsidiaries.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Adequacy of the Note Disclosure of Adelphia's Contingent Liability</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also considered whether Adelphia's footnote disclosure of Rigas entities's coborrowings was appropriate under GAAP. Adelphia disclosed the total amount of credit available to the coborrowers ("up to" $3.75 billion) without indicating whether any portion of that available credit had actually been drawn down, much less that all of it had. This disclosure was inadequate to inform the investing public that Adelphia was already primarily liable for $2.1 billion and a guarantor for the remaining $1.6 billion that had been borrowed by Rigas entities. Therefore, it did not comply with the requirement in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 to disclose the amount of the contingent liability.</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concluded that Dearlove acted unreasonably in his audit of Adelphia's note disclosure, resulting in several violations of GAAS. In high-risk audit environments such as that presented by the Adelphia engagement, GAAS specifically recommend "increased recognition of the need to corroborate management explanations or representations concerning material matters—such as further analytical procedures, examination of documentation, or discussion with others within or outside the entity" when audit risk increases. The accounting for Adelphia's coborrowed debt implicated the extensive related-party transactions and high debt load that were part of the basis for Deloitte's high-risk assessment for the Adelphia audit. Management's insistence on its own accounting interpretation was precisely the behavior identified by the audit plan as presenting a much higher than normal risk of misstatement in the audit.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Moreover, Dearlove knew that the audit team believed that the footnote disclosure in previous years was inadequate and had urged additional disclosure that would have made clear the extent of Rigas entities's actual borrowings and Adelphia's resulting potential liability. Dearlove did not think that Brown's language helped achieve Deloitte's goal of clarifying the extent of Rigas entities's debt and Adelphia's obligation as guarantor. Yet Dearlove accepted Brown's language without probing his reasons for the change, without understanding Adelphia's reasons for rejecting Deloitte's language, and without discussing the issue with the concurring or risk review partners assigned to the audit. This unquestioning acceptance of Brown's proposed disclosure language was a clear—and at least unreasonable—departure from the requirements of GAAS to apply greater than normal skepticism and additional audit procedures in order to corroborate management representations in a high-risk environment. Dearlove's conduct resulted in violations of applicable professional standards.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555</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asserted that disclosure of the amount that Rigas entities could theoretically borrow (up to $3.75 billion) was more conservative than disclosure of the $1.6 billion that it had actually borrowed. The SEC concluded that the footnote disclosure was materially misleading to investors: "Materiality depends on the significance the reasonable investor would place on the withheld or misrepresented information." If "there is a substantial likelihood that a reasonable investor would consider the information important in making an investment decision," the information is material. A reasonable investor would think it significant that the footnote disclosure spoke only in terms of potential debt when, in fact, the entire line of credit had been borrowed and $1.6 billion of it was excluded from Adelphia's balance sheet but potentially payable by Adelphia. It was especially important for this information to appear in Adelphia's financial statements because investors had no access to the financial statements of the privately held Rigas entities. The SEC rejected Dearlove's argument that Adelphia's note complied with </w:t>
      </w:r>
      <w:r w:rsidRPr="00C20A84">
        <w:rPr>
          <w:rFonts w:ascii="inherit" w:eastAsia="Times New Roman" w:hAnsi="inherit" w:cs="Helvetica"/>
          <w:i/>
          <w:iCs/>
          <w:color w:val="3D3D3D"/>
          <w:sz w:val="21"/>
          <w:szCs w:val="21"/>
          <w:bdr w:val="none" w:sz="0" w:space="0" w:color="auto" w:frame="1"/>
        </w:rPr>
        <w:t>SFAS 5</w:t>
      </w:r>
      <w:r w:rsidRPr="00C20A84">
        <w:rPr>
          <w:rFonts w:ascii="Helvetica" w:eastAsia="Times New Roman" w:hAnsi="Helvetica" w:cs="Helvetica"/>
          <w:color w:val="3D3D3D"/>
          <w:sz w:val="21"/>
          <w:szCs w:val="21"/>
        </w:rPr>
        <w:t>'s requirement to disclose the amount of debt that Adelphia guaranteed.</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Debt Reclassification</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After the end of the second, third, and fourth quarters of 2000, Adelphia's accounting department transferred the reporting of approximately $296 million of debt from the books of Adelphia's subsidiaries to the books of various Rigas entities. In exchange, Adelphia eliminated from its books receivables owed to it by the respective Rigas entities in the amount of debt transferred. The three transfers were in the amounts of $36 million, approximately $222 million, and more than $38 million, respectively. In each instance, the transaction took place after the end of the quarter, and each transfer involved a postclosing journal entry that was retroactive to the last day of the quarter.</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 checklist prepared by Deloitte in anticipation of the 2000 audit showed that Deloitte was aware of a significant number of related-party transactions that had arisen outside the normal course of business and that past audits had indicated a significant number of misstatements or correcting entries made by Adelphia, particularly at or near year-end. An audit overview memorandum recognized as a risk area that "Adelphia records numerous post-closing adjusting journal entries" and provided as an audit response, "[Deloitte] engagement team to review post-closing journal entries recorded and review with appropriate personnel. Conclude as to reasonableness of entries posted." An audit planning memorandum provided that "professional skepticism will be heightened to ensure that . . . related party transactions . . . are appropriately identified and disclosed" and that auditors should "increase professional skepticism in [areas] where significant related party transactions could occur."</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testified that Deloitte had identified the Rigas family's control of both Adelphia and Rigas entities as posing a special risk. Dearlove also testified that he believed that it was important to know whose debt was whose, concerning Adelphia and Rigas entities. He testified that he was "generally aware the debt was audited," but that he did not review the debt workpapers directly. He also testified: "I don't recall [debt] being [a] particularly sensitive area, . . . I don't recall issues raised to me of difficulties we had. I don't recall any particular conversation I had with the team" concerning the audit of the debt. The record does not show that Dearlove knew of the three journal entries involving debt reclassification at the time of the audit.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556</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Statement of Financial Accounting Standards (SFAS) 125, Accounting for Transfers and Servicing of Financial Assets and Extinguishment of Liabilities,</w:t>
      </w:r>
      <w:r w:rsidRPr="00C20A84">
        <w:rPr>
          <w:rFonts w:ascii="Helvetica" w:eastAsia="Times New Roman" w:hAnsi="Helvetica" w:cs="Helvetica"/>
          <w:color w:val="3D3D3D"/>
          <w:sz w:val="21"/>
          <w:szCs w:val="21"/>
        </w:rPr>
        <w:t> permits a debtor to derecognize a liability "if and only if it has been extinguished."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provides that a liability is extinguished if either (1) the debtor pays the creditor and is relieved of its obligation for the liability, or (2) the debtor is legally released from being the primary obligor under the liability, either judicially or by the creditor.</w:t>
      </w:r>
      <w:r w:rsidRPr="00C20A84">
        <w:rPr>
          <w:rFonts w:ascii="inherit" w:eastAsia="Times New Roman" w:hAnsi="inherit" w:cs="Helvetica"/>
          <w:b/>
          <w:bCs/>
          <w:color w:val="3D3D3D"/>
          <w:sz w:val="21"/>
          <w:szCs w:val="21"/>
          <w:bdr w:val="none" w:sz="0" w:space="0" w:color="auto" w:frame="1"/>
        </w:rPr>
        <w:t>6</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When the Adelphia subsidiaries posted the debt in question to their books, they acknowledged their primary liability for the amounts posted. They could not remove the debt properly from their books without first satisfying the requirements of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that either the Adelphia subsidiaries repaid the debt to the creditor during the relevant reporting periods or a creditor had released the subsidiaries from their liability for repayment. The evidence does not show, and Dearlove did not contend, that either of these events occurred. Adelphia's attempt to extinguish the debt unilaterally merely by shifting the reporting to Rigas entities violated GAAP and rendered its financial statements materially misleading by making Adelphia's debt appear less than it was.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Dearlove did not dispute that "certain debt which had been posted to Adelphia was later posted to a Rigas entity." However, focusing on the statement in the initial decision that "once Adelphia's subsidiaries had posted this debt to their books they became primary obligors for the amounts posted," Dearlove argued that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does not define the circumstances under which an entity recognizes debt that may be derecognized only under the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criteria. He claimed that the initial decision of the commission improperly "assumed without analysis" that the posting of debt in a ledger is such a circumstance. Dearlove argued that the application of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is complex where entities are jointly and severally liable for an obligation, and it did not apply where an entity is secondarily or contingently rather than primarily liable. He asserted that Adelphia was arguably not required to recognize debt in cases where coborrowed funds were intended to be used by other coborrowers. He stopped short, however, of saying that the funds at issue were so intended, and our review of the record yields nothing to support such a contention. The record did not establish that all the reclassified debt was coborrowed debt, and the ALJ correctly concluded that the impropriety of Adelphia's debt reclassification was unaffected by the question whether the debt was coborrowed. In addition, Dearlove cited no authority to support his contention that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is applicable only where primary obligors were required to recognize a liability, and we are aware of none.</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crucial question for the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analysis is whether the debt was extinguished in one of the enumerated ways. If the debt was not extinguished as provided in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the debtor may not derecognize it. The SEC found that the debts were recognized when booked and that, because there was no evidence that the debts were extinguished under </w:t>
      </w:r>
      <w:r w:rsidRPr="00C20A84">
        <w:rPr>
          <w:rFonts w:ascii="inherit" w:eastAsia="Times New Roman" w:hAnsi="inherit" w:cs="Helvetica"/>
          <w:i/>
          <w:iCs/>
          <w:color w:val="3D3D3D"/>
          <w:sz w:val="21"/>
          <w:szCs w:val="21"/>
          <w:bdr w:val="none" w:sz="0" w:space="0" w:color="auto" w:frame="1"/>
        </w:rPr>
        <w:t>SFAS 125,</w:t>
      </w:r>
      <w:r w:rsidRPr="00C20A84">
        <w:rPr>
          <w:rFonts w:ascii="Helvetica" w:eastAsia="Times New Roman" w:hAnsi="Helvetica" w:cs="Helvetica"/>
          <w:color w:val="3D3D3D"/>
          <w:sz w:val="21"/>
          <w:szCs w:val="21"/>
        </w:rPr>
        <w:t> the accounting treatment violated GAAP.</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With respect to the direct placement of stock transactions, on at least four occasions corresponding with public offerings by Adelphia, Adelphia removed a portion of Co-Borrowing Credit Facility Debt from its books as part of sham transactions in which a Rigas Entity non-co-borrower received Adelphia securities and a Rigas Entity co-borrower "assumed" debt of Adelphia. In each instance, Adelphia claimed in Commission filings and other public statements that Adelphia had applied some or all of the proceeds from these securities transactions actually to pay down debt, when—in fact—these transactions were shams with no bona fide proceeds, and resulted only in the transfer of Adelphia's debt to the books of Rigas Entity co-borrowers.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commission also found that Dearlove's conduct in his audit of Adelphia's accounting for debt was at least unreasonable, resulting in several GAAS violations. As explained, Dearlove knew that Adelphia had a large number of decentralized operating entities with a complex reporting structure, carried substantial debt, and engaged in significant related-party transactions with affiliated entities that Deloitte would not be auditing. He also knew that Adelphia management tended to interpret accounting standards aggressively. Moreover, the audit plan specifically required that postclosing journal entries be examined in particular detail and that the audit team draw conclusions as to their reasonableness. Dearlove knew that these factors, together with others, led Deloitte to identify the Adelphia audit as posing a "much greater than normal" risk of fraud, misstatement, or error. In addition, Dearlove knew that Adelphia management netted its affiliate accounts payable and receivable and sought to reduce the amount of related-party receivables that it reported.</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557</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In this context, GAAS required Dearlove to consider the "much greater than normal" risk of the audit in determining the extent of procedures, assigning staff, and requiring appropriate levels of supervision. In addition, he was required to "direct the efforts of assistants who [were] involved in accomplishing the objectives of the audit and [to] determin[e] whether those objectives were accomplished." He was required to exercise "an attitude that includes a questioning mind and a critical assessment of audit evidence," "to obtain sufficient competent evidential matter to provide . . . a reasonable basis for forming a conclusion," and, after identifying related-party transactions, to "apply the procedures he consider[ed] necessary to obtain satisfaction concerning the purpose, nature, and extent of these transactions and their effect on the financial statements."</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reclassified debt involved postclosing journal entries of a magnitude significant enough to require the auditors to confront management and request an explanation, as required by Deloitte's audit planning documents. After discussing the entries with appropriate Adelphia personnel, Deloitte should have documented management's explanation and Deloitte's conclusions as to whether the accounting treatment was reasonable in the audit workpapers. The record did not show that any of these steps was taken. The failure to take them was, at the very least, unreasonable.</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The SEC concluded that Dearlove had acted at least unreasonably in signing an unqualified audit opinion (i.e., unmodified) stating that Deloitte had conducted its audit in accordance with GAAS and that such audit provided a reasonable basis for its opinion that Adelphia's 2000 financial statements fairly presented Adelphia's financial position in conformity with GAAP.</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inherit" w:eastAsia="Times New Roman" w:hAnsi="inherit" w:cs="Helvetica"/>
          <w:i/>
          <w:iCs/>
          <w:color w:val="3D3D3D"/>
          <w:sz w:val="21"/>
          <w:szCs w:val="21"/>
          <w:bdr w:val="none" w:sz="0" w:space="0" w:color="auto" w:frame="1"/>
        </w:rPr>
        <w:t>Postscript</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On April 21, 2005, it was announced that Time Warner and Comcast were buying bankrupt cable company Adelphia Communications in a $17.6 billion cash-and-stock deal. As a result of a settlement of actions against Adelphia and members of the Rigas family for securities fraud and other violations, and a related criminal forfeiture action, the U.S. Department of Justice and the U.S. Securities and Exchange Commission obtained a recovery consisting of cash of approximately $729 million. The funds were distributed to eligible claimants who suffered a financial loss as a direct result of the circumstances surrounding the Adelphia fraud.</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Deloitte did not fare well in the investor lawsuits. On April 5, 2010, Deloitte &amp; Touche LLP agreed to pay up to $210 million as part of a larger $455 million amount. Also, a number of banks, including Bank of America, Citigroup, JPMorgan Chase, Wachovia, and 35 others, agreed to pay to settle an investor lawsuit. Earlier, in 2005, Deloitte had paid the SEC $50 million to settle claims that it had incorrectly audited Adelphia's 2000 financials. Not surprisingly, the defendants, Deloitte and the banks, admitted no wrongdoing, but Deloitte spokesperson Deborah Harrington said, "Deloitte &amp; Touche believes it has no liability for the fraud by Adelphia and its former management. Deloitte &amp; Touche also believes, however, that it was in the best interests of the firm and its clients to settle this action rather than to continue to face the expense and uncertainty of protracted litigation."</w:t>
      </w:r>
      <w:r w:rsidRPr="00C20A84">
        <w:rPr>
          <w:rFonts w:ascii="inherit" w:eastAsia="Times New Roman" w:hAnsi="inherit" w:cs="Helvetica"/>
          <w:b/>
          <w:bCs/>
          <w:color w:val="3D3D3D"/>
          <w:sz w:val="21"/>
          <w:szCs w:val="21"/>
          <w:bdr w:val="none" w:sz="0" w:space="0" w:color="auto" w:frame="1"/>
        </w:rPr>
        <w:t>7</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As usual, the lawyers made out well in this case, landing a 21 percent share of the settlement (or about $94 million).</w:t>
      </w:r>
    </w:p>
    <w:p w:rsidR="00C20A84" w:rsidRPr="00C20A84" w:rsidRDefault="00C20A84" w:rsidP="00C20A84">
      <w:pPr>
        <w:spacing w:after="0" w:line="240" w:lineRule="auto"/>
        <w:textAlignment w:val="baseline"/>
        <w:rPr>
          <w:rFonts w:ascii="Helvetica" w:eastAsia="Times New Roman" w:hAnsi="Helvetica" w:cs="Helvetica"/>
          <w:color w:val="3D3D3D"/>
          <w:sz w:val="21"/>
          <w:szCs w:val="21"/>
        </w:rPr>
      </w:pPr>
      <w:r w:rsidRPr="00C20A84">
        <w:rPr>
          <w:rFonts w:ascii="Helvetica" w:eastAsia="Times New Roman" w:hAnsi="Helvetica" w:cs="Helvetica"/>
          <w:color w:val="3D3D3D"/>
          <w:sz w:val="21"/>
          <w:szCs w:val="21"/>
        </w:rPr>
        <w:t>Page 558</w:t>
      </w:r>
    </w:p>
    <w:p w:rsidR="00D860B8" w:rsidRDefault="00D860B8">
      <w:bookmarkStart w:id="0" w:name="_GoBack"/>
      <w:bookmarkEnd w:id="0"/>
    </w:p>
    <w:sectPr w:rsidR="00D860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E7247A"/>
    <w:multiLevelType w:val="multilevel"/>
    <w:tmpl w:val="2160A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A84"/>
    <w:rsid w:val="00C20A84"/>
    <w:rsid w:val="00D86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0A8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20A84"/>
    <w:rPr>
      <w:i/>
      <w:iCs/>
    </w:rPr>
  </w:style>
  <w:style w:type="character" w:styleId="Strong">
    <w:name w:val="Strong"/>
    <w:basedOn w:val="DefaultParagraphFont"/>
    <w:uiPriority w:val="22"/>
    <w:qFormat/>
    <w:rsid w:val="00C20A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0A8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20A84"/>
    <w:rPr>
      <w:i/>
      <w:iCs/>
    </w:rPr>
  </w:style>
  <w:style w:type="character" w:styleId="Strong">
    <w:name w:val="Strong"/>
    <w:basedOn w:val="DefaultParagraphFont"/>
    <w:uiPriority w:val="22"/>
    <w:qFormat/>
    <w:rsid w:val="00C20A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73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6244</Words>
  <Characters>35593</Characters>
  <Application>Microsoft Office Word</Application>
  <DocSecurity>0</DocSecurity>
  <Lines>296</Lines>
  <Paragraphs>83</Paragraphs>
  <ScaleCrop>false</ScaleCrop>
  <Company/>
  <LinksUpToDate>false</LinksUpToDate>
  <CharactersWithSpaces>41754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2020-03-28T12:49:00Z</dcterms:created>
  <dcterms:modified xsi:type="dcterms:W3CDTF">2020-03-28T12:49:00Z</dcterms:modified>
</cp:coreProperties>
</file>