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1D" w:rsidRDefault="00B63C94">
      <w:hyperlink r:id="rId4" w:history="1">
        <w:r>
          <w:rPr>
            <w:rStyle w:val="Hyperlink"/>
            <w:rFonts w:ascii="Arial" w:hAnsi="Arial" w:cs="Arial"/>
            <w:sz w:val="38"/>
            <w:szCs w:val="38"/>
          </w:rPr>
          <w:t>https://www.forbes.com/sites/boburlingham/2017/05/09/forbes-small-giants-2017-americas-best-small-companies/?sh=7581268d4c32</w:t>
        </w:r>
      </w:hyperlink>
      <w:r>
        <w:rPr>
          <w:rFonts w:ascii="Arial" w:hAnsi="Arial" w:cs="Arial"/>
          <w:color w:val="001847"/>
          <w:sz w:val="38"/>
          <w:szCs w:val="38"/>
        </w:rPr>
        <w:t>  </w:t>
      </w:r>
    </w:p>
    <w:sectPr w:rsidR="00697D1D" w:rsidSect="00697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B63C94"/>
    <w:rsid w:val="00697D1D"/>
    <w:rsid w:val="00B6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3C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orbes.com/sites/boburlingham/2017/05/09/forbes-small-giants-2017-americas-best-small-companies/?sh=7581268d4c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2021-04-01T09:01:00Z</dcterms:created>
  <dcterms:modified xsi:type="dcterms:W3CDTF">2021-04-01T09:01:00Z</dcterms:modified>
</cp:coreProperties>
</file>