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17" w:rsidRDefault="00F13B0C">
      <w:hyperlink r:id="rId4" w:tgtFrame="_blank" w:history="1">
        <w:r>
          <w:rPr>
            <w:rStyle w:val="Hyperlink"/>
            <w:rFonts w:ascii="Arial" w:hAnsi="Arial" w:cs="Arial"/>
            <w:color w:val="7429FF"/>
            <w:sz w:val="33"/>
            <w:szCs w:val="33"/>
          </w:rPr>
          <w:t>https://www.ftc.gov/news-events/press-releases/2021/01/ftc-requires-mobile-advertising-company-stop-misleading-users</w:t>
        </w:r>
      </w:hyperlink>
    </w:p>
    <w:sectPr w:rsidR="00714817" w:rsidSect="007148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13B0C"/>
    <w:rsid w:val="00714817"/>
    <w:rsid w:val="00F1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8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13B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tc.gov/news-events/press-releases/2021/01/ftc-requires-mobile-advertising-company-stop-misleading-us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2021-03-13T05:40:00Z</dcterms:created>
  <dcterms:modified xsi:type="dcterms:W3CDTF">2021-03-13T05:40:00Z</dcterms:modified>
</cp:coreProperties>
</file>