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8B" w:rsidRDefault="00DA5BEA">
      <w:pPr>
        <w:pStyle w:val="Body"/>
        <w:spacing w:line="480" w:lineRule="auto"/>
        <w:rPr>
          <w:rFonts w:ascii="Arial" w:eastAsia="Arial" w:hAnsi="Arial" w:cs="Arial"/>
          <w:sz w:val="24"/>
          <w:szCs w:val="24"/>
        </w:rPr>
      </w:pPr>
      <w:r>
        <w:rPr>
          <w:rFonts w:ascii="Arial"/>
          <w:sz w:val="24"/>
          <w:szCs w:val="24"/>
        </w:rPr>
        <w:t>Deloitte LLP</w:t>
      </w:r>
    </w:p>
    <w:p w:rsidR="00F02E8B" w:rsidRDefault="00F02E8B">
      <w:pPr>
        <w:pStyle w:val="Body"/>
        <w:spacing w:line="480" w:lineRule="auto"/>
        <w:rPr>
          <w:rFonts w:ascii="Arial" w:eastAsia="Arial" w:hAnsi="Arial" w:cs="Arial"/>
          <w:sz w:val="24"/>
          <w:szCs w:val="24"/>
        </w:rPr>
      </w:pPr>
    </w:p>
    <w:p w:rsidR="00F02E8B" w:rsidRDefault="00DA5BEA">
      <w:pPr>
        <w:pStyle w:val="Body"/>
        <w:spacing w:line="480" w:lineRule="auto"/>
        <w:rPr>
          <w:rFonts w:ascii="Arial" w:eastAsia="Arial" w:hAnsi="Arial" w:cs="Arial"/>
          <w:sz w:val="24"/>
          <w:szCs w:val="24"/>
        </w:rPr>
      </w:pPr>
      <w:r>
        <w:rPr>
          <w:rFonts w:ascii="Arial"/>
          <w:sz w:val="24"/>
          <w:szCs w:val="24"/>
        </w:rPr>
        <w:t xml:space="preserve">  Deloitte is one of the biggest audit company. They provide the best audit, consulting, financial advisory, risk management, tax and related services to select clients.Clients count on Deloitte to help them transform </w:t>
      </w:r>
      <w:r>
        <w:rPr>
          <w:rFonts w:ascii="Arial"/>
          <w:sz w:val="24"/>
          <w:szCs w:val="24"/>
        </w:rPr>
        <w:t>uncertainty into possibility and rapid change into lasting progress.</w:t>
      </w:r>
    </w:p>
    <w:p w:rsidR="00F02E8B" w:rsidRDefault="00DA5BEA">
      <w:pPr>
        <w:pStyle w:val="Body"/>
        <w:spacing w:line="480" w:lineRule="auto"/>
        <w:rPr>
          <w:rFonts w:ascii="Arial" w:eastAsia="Arial" w:hAnsi="Arial" w:cs="Arial"/>
          <w:sz w:val="24"/>
          <w:szCs w:val="24"/>
        </w:rPr>
      </w:pPr>
      <w:r>
        <w:rPr>
          <w:rFonts w:ascii="Arial"/>
          <w:sz w:val="24"/>
          <w:szCs w:val="24"/>
        </w:rPr>
        <w:t xml:space="preserve">In the United States, Deloitte LLP is the member firm of DTTL. Deloitte LLP does not provide services to clients. Instead, services are primarily provided by the subsidiaries of Deloitte </w:t>
      </w:r>
      <w:r>
        <w:rPr>
          <w:rFonts w:ascii="Arial"/>
          <w:sz w:val="24"/>
          <w:szCs w:val="24"/>
        </w:rPr>
        <w:t>LLP, including:</w:t>
      </w:r>
    </w:p>
    <w:p w:rsidR="00F02E8B" w:rsidRDefault="00DA5BEA">
      <w:pPr>
        <w:pStyle w:val="Body"/>
        <w:spacing w:line="480" w:lineRule="auto"/>
        <w:rPr>
          <w:rFonts w:ascii="Arial" w:eastAsia="Arial" w:hAnsi="Arial" w:cs="Arial"/>
          <w:sz w:val="24"/>
          <w:szCs w:val="24"/>
        </w:rPr>
      </w:pPr>
      <w:r>
        <w:rPr>
          <w:rFonts w:ascii="Arial"/>
          <w:sz w:val="24"/>
          <w:szCs w:val="24"/>
        </w:rPr>
        <w:t>Deloitte &amp; Touche LLP</w:t>
      </w:r>
    </w:p>
    <w:p w:rsidR="00F02E8B" w:rsidRDefault="00DA5BEA">
      <w:pPr>
        <w:pStyle w:val="Body"/>
        <w:spacing w:line="480" w:lineRule="auto"/>
        <w:rPr>
          <w:rFonts w:ascii="Arial" w:eastAsia="Arial" w:hAnsi="Arial" w:cs="Arial"/>
          <w:sz w:val="24"/>
          <w:szCs w:val="24"/>
        </w:rPr>
      </w:pPr>
      <w:r>
        <w:rPr>
          <w:rFonts w:ascii="Arial"/>
          <w:sz w:val="24"/>
          <w:szCs w:val="24"/>
        </w:rPr>
        <w:t>Deloitte Consulting LLP</w:t>
      </w:r>
    </w:p>
    <w:p w:rsidR="00F02E8B" w:rsidRDefault="00DA5BEA">
      <w:pPr>
        <w:pStyle w:val="Body"/>
        <w:spacing w:line="480" w:lineRule="auto"/>
        <w:rPr>
          <w:rFonts w:ascii="Arial" w:eastAsia="Arial" w:hAnsi="Arial" w:cs="Arial"/>
          <w:sz w:val="24"/>
          <w:szCs w:val="24"/>
        </w:rPr>
      </w:pPr>
      <w:r>
        <w:rPr>
          <w:rFonts w:ascii="Arial"/>
          <w:sz w:val="24"/>
          <w:szCs w:val="24"/>
        </w:rPr>
        <w:t>Deloitte Financial Advisory Services LLP</w:t>
      </w:r>
    </w:p>
    <w:p w:rsidR="00F02E8B" w:rsidRDefault="00DA5BEA">
      <w:pPr>
        <w:pStyle w:val="Body"/>
        <w:spacing w:line="480" w:lineRule="auto"/>
        <w:rPr>
          <w:rFonts w:ascii="Arial" w:eastAsia="Arial" w:hAnsi="Arial" w:cs="Arial"/>
          <w:sz w:val="24"/>
          <w:szCs w:val="24"/>
        </w:rPr>
      </w:pPr>
      <w:r>
        <w:rPr>
          <w:rFonts w:ascii="Arial"/>
          <w:sz w:val="24"/>
          <w:szCs w:val="24"/>
        </w:rPr>
        <w:t>Deloitte Tax LLP</w:t>
      </w:r>
    </w:p>
    <w:p w:rsidR="00F02E8B" w:rsidRDefault="00F02E8B">
      <w:pPr>
        <w:pStyle w:val="Body"/>
        <w:spacing w:line="480" w:lineRule="auto"/>
        <w:rPr>
          <w:rFonts w:ascii="Arial" w:eastAsia="Arial" w:hAnsi="Arial" w:cs="Arial"/>
          <w:sz w:val="24"/>
          <w:szCs w:val="24"/>
        </w:rPr>
      </w:pPr>
    </w:p>
    <w:p w:rsidR="00F02E8B" w:rsidRDefault="00DA5BEA">
      <w:pPr>
        <w:pStyle w:val="Body"/>
        <w:spacing w:line="480" w:lineRule="auto"/>
        <w:rPr>
          <w:rFonts w:ascii="Arial" w:eastAsia="Arial" w:hAnsi="Arial" w:cs="Arial"/>
          <w:sz w:val="24"/>
          <w:szCs w:val="24"/>
        </w:rPr>
      </w:pPr>
      <w:r>
        <w:rPr>
          <w:rFonts w:ascii="Arial"/>
          <w:sz w:val="24"/>
          <w:szCs w:val="24"/>
        </w:rPr>
        <w:t xml:space="preserve">   Deloitte vision and strategy, developed in collaboration with and firm partners from around the world, focuses on working together.B</w:t>
      </w:r>
      <w:r>
        <w:rPr>
          <w:rFonts w:ascii="Arial"/>
          <w:sz w:val="24"/>
          <w:szCs w:val="24"/>
        </w:rPr>
        <w:t>usiness borders to deliver excellence in all of the services provided by the member firms.</w:t>
      </w:r>
    </w:p>
    <w:p w:rsidR="00F02E8B" w:rsidRDefault="00DA5BEA">
      <w:pPr>
        <w:pStyle w:val="Body"/>
        <w:spacing w:line="480" w:lineRule="auto"/>
        <w:rPr>
          <w:rFonts w:ascii="Arial" w:eastAsia="Arial" w:hAnsi="Arial" w:cs="Arial"/>
          <w:sz w:val="24"/>
          <w:szCs w:val="24"/>
        </w:rPr>
      </w:pPr>
      <w:r>
        <w:rPr>
          <w:rFonts w:ascii="Arial"/>
          <w:sz w:val="24"/>
          <w:szCs w:val="24"/>
        </w:rPr>
        <w:t>Deloitte's mission is to influence those activities through leadership, insight, expertise, problem-solving skills, and deep knowledge of our globalized marketplace.</w:t>
      </w:r>
      <w:r>
        <w:rPr>
          <w:rFonts w:ascii="Arial"/>
          <w:sz w:val="24"/>
          <w:szCs w:val="24"/>
        </w:rPr>
        <w:t xml:space="preserve"> Doing so demands teamwork, working together across geographic, functional, and business borders.</w:t>
      </w:r>
    </w:p>
    <w:p w:rsidR="00F02E8B" w:rsidRDefault="00DA5BEA">
      <w:pPr>
        <w:pStyle w:val="Body"/>
        <w:spacing w:line="480" w:lineRule="auto"/>
        <w:rPr>
          <w:rFonts w:ascii="Arial" w:eastAsia="Arial" w:hAnsi="Arial" w:cs="Arial"/>
          <w:sz w:val="24"/>
          <w:szCs w:val="24"/>
        </w:rPr>
      </w:pPr>
      <w:r>
        <w:rPr>
          <w:rFonts w:ascii="Arial"/>
          <w:sz w:val="24"/>
          <w:szCs w:val="24"/>
        </w:rPr>
        <w:t>In order for this to happen, top management has to communicate its commitment internally and externally. Internally, this often means developing incentives to</w:t>
      </w:r>
      <w:r>
        <w:rPr>
          <w:rFonts w:ascii="Arial"/>
          <w:sz w:val="24"/>
          <w:szCs w:val="24"/>
        </w:rPr>
        <w:t xml:space="preserve"> get </w:t>
      </w:r>
      <w:r>
        <w:rPr>
          <w:rFonts w:ascii="Arial"/>
          <w:sz w:val="24"/>
          <w:szCs w:val="24"/>
        </w:rPr>
        <w:lastRenderedPageBreak/>
        <w:t>business managers and employees involved in the issues. In that case, sustainable development performance needs to be integrated into the overall management reward system. Externally, as already argued, a sustainable development report is an important</w:t>
      </w:r>
      <w:r>
        <w:rPr>
          <w:rFonts w:ascii="Arial"/>
          <w:sz w:val="24"/>
          <w:szCs w:val="24"/>
        </w:rPr>
        <w:t xml:space="preserve"> tool to provide a periodic status report on achievements.</w:t>
      </w:r>
    </w:p>
    <w:tbl>
      <w:tblPr>
        <w:tblW w:w="9360"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shd w:val="clear" w:color="auto" w:fill="FEFFFE"/>
        <w:tblLayout w:type="fixed"/>
        <w:tblLook w:val="04A0"/>
      </w:tblPr>
      <w:tblGrid>
        <w:gridCol w:w="4680"/>
        <w:gridCol w:w="4680"/>
      </w:tblGrid>
      <w:tr w:rsidR="00F02E8B">
        <w:trPr>
          <w:trHeight w:val="290"/>
          <w:tblHeader/>
        </w:trPr>
        <w:tc>
          <w:tcPr>
            <w:tcW w:w="9360" w:type="dxa"/>
            <w:gridSpan w:val="2"/>
            <w:tcBorders>
              <w:top w:val="nil"/>
              <w:left w:val="nil"/>
              <w:bottom w:val="single" w:sz="8" w:space="0" w:color="406091"/>
              <w:right w:val="nil"/>
            </w:tcBorders>
            <w:shd w:val="clear" w:color="auto" w:fill="FEFFFE"/>
            <w:tcMar>
              <w:top w:w="80" w:type="dxa"/>
              <w:left w:w="80" w:type="dxa"/>
              <w:bottom w:w="80" w:type="dxa"/>
              <w:right w:w="80" w:type="dxa"/>
            </w:tcMar>
          </w:tcPr>
          <w:p w:rsidR="00F02E8B" w:rsidRDefault="00DA5BEA">
            <w:pPr>
              <w:pStyle w:val="TableStyle1"/>
            </w:pPr>
            <w:r>
              <w:rPr>
                <w:sz w:val="24"/>
                <w:szCs w:val="24"/>
              </w:rPr>
              <w:t>S W O T    analysis</w:t>
            </w:r>
          </w:p>
        </w:tc>
      </w:tr>
      <w:tr w:rsidR="00F02E8B">
        <w:tblPrEx>
          <w:shd w:val="clear" w:color="auto" w:fill="auto"/>
        </w:tblPrEx>
        <w:trPr>
          <w:trHeight w:val="1690"/>
        </w:trPr>
        <w:tc>
          <w:tcPr>
            <w:tcW w:w="4680" w:type="dxa"/>
            <w:tcBorders>
              <w:top w:val="single" w:sz="8" w:space="0" w:color="406091"/>
              <w:left w:val="nil"/>
              <w:bottom w:val="nil"/>
              <w:right w:val="nil"/>
            </w:tcBorders>
            <w:shd w:val="clear" w:color="auto" w:fill="489BC9"/>
            <w:tcMar>
              <w:top w:w="80" w:type="dxa"/>
              <w:left w:w="80" w:type="dxa"/>
              <w:bottom w:w="80" w:type="dxa"/>
              <w:right w:w="80" w:type="dxa"/>
            </w:tcMar>
          </w:tcPr>
          <w:p w:rsidR="00F02E8B" w:rsidRDefault="00DA5BEA">
            <w:pPr>
              <w:pStyle w:val="TableStyle3"/>
            </w:pPr>
            <w:r>
              <w:rPr>
                <w:color w:val="000000"/>
                <w:sz w:val="24"/>
                <w:szCs w:val="24"/>
              </w:rPr>
              <w:t xml:space="preserve">      Strengths</w:t>
            </w:r>
          </w:p>
        </w:tc>
        <w:tc>
          <w:tcPr>
            <w:tcW w:w="4680" w:type="dxa"/>
            <w:tcBorders>
              <w:top w:val="single" w:sz="8" w:space="0" w:color="406091"/>
              <w:left w:val="nil"/>
              <w:bottom w:val="nil"/>
              <w:right w:val="nil"/>
            </w:tcBorders>
            <w:shd w:val="clear" w:color="auto" w:fill="auto"/>
            <w:tcMar>
              <w:top w:w="80" w:type="dxa"/>
              <w:left w:w="80" w:type="dxa"/>
              <w:bottom w:w="80" w:type="dxa"/>
              <w:right w:w="80" w:type="dxa"/>
            </w:tcMar>
          </w:tcPr>
          <w:p w:rsidR="00F02E8B" w:rsidRDefault="00DA5BEA">
            <w:pPr>
              <w:pStyle w:val="TableStyle2"/>
            </w:pPr>
            <w:r>
              <w:rPr>
                <w:rFonts w:eastAsia="Arial Unicode MS" w:hAnsi="Arial Unicode MS" w:cs="Arial Unicode MS"/>
              </w:rPr>
              <w:t xml:space="preserve">I think one of the strength is Deloitte being global consulting company. Deloitte has branches around the world for many years. More than 120,000 professionals </w:t>
            </w:r>
            <w:r>
              <w:rPr>
                <w:rFonts w:eastAsia="Arial Unicode MS" w:hAnsi="Arial Unicode MS" w:cs="Arial Unicode MS"/>
              </w:rPr>
              <w:t>and operations in more than 700 cities in 150 countries. Another strength is being top 4 Accounting firms. Revenue of more than $16 billion.</w:t>
            </w:r>
          </w:p>
        </w:tc>
      </w:tr>
      <w:tr w:rsidR="00F02E8B">
        <w:tblPrEx>
          <w:shd w:val="clear" w:color="auto" w:fill="auto"/>
        </w:tblPrEx>
        <w:trPr>
          <w:trHeight w:val="1440"/>
        </w:trPr>
        <w:tc>
          <w:tcPr>
            <w:tcW w:w="4680" w:type="dxa"/>
            <w:tcBorders>
              <w:top w:val="nil"/>
              <w:left w:val="nil"/>
              <w:bottom w:val="nil"/>
              <w:right w:val="nil"/>
            </w:tcBorders>
            <w:shd w:val="clear" w:color="auto" w:fill="489BC9"/>
            <w:tcMar>
              <w:top w:w="80" w:type="dxa"/>
              <w:left w:w="80" w:type="dxa"/>
              <w:bottom w:w="80" w:type="dxa"/>
              <w:right w:w="80" w:type="dxa"/>
            </w:tcMar>
          </w:tcPr>
          <w:p w:rsidR="00F02E8B" w:rsidRDefault="00DA5BEA">
            <w:pPr>
              <w:pStyle w:val="TableStyle3"/>
            </w:pPr>
            <w:r>
              <w:rPr>
                <w:color w:val="000000"/>
                <w:sz w:val="24"/>
                <w:szCs w:val="24"/>
              </w:rPr>
              <w:t xml:space="preserve">    Weaknesses</w:t>
            </w:r>
          </w:p>
        </w:tc>
        <w:tc>
          <w:tcPr>
            <w:tcW w:w="4680" w:type="dxa"/>
            <w:tcBorders>
              <w:top w:val="nil"/>
              <w:left w:val="nil"/>
              <w:bottom w:val="nil"/>
              <w:right w:val="nil"/>
            </w:tcBorders>
            <w:shd w:val="clear" w:color="auto" w:fill="EEEEEE"/>
            <w:tcMar>
              <w:top w:w="80" w:type="dxa"/>
              <w:left w:w="80" w:type="dxa"/>
              <w:bottom w:w="80" w:type="dxa"/>
              <w:right w:w="80" w:type="dxa"/>
            </w:tcMar>
          </w:tcPr>
          <w:p w:rsidR="00F02E8B" w:rsidRDefault="00DA5BEA">
            <w:pPr>
              <w:pStyle w:val="TableStyle2"/>
            </w:pPr>
            <w:r>
              <w:rPr>
                <w:rFonts w:eastAsia="Arial Unicode MS" w:hAnsi="Arial Unicode MS" w:cs="Arial Unicode MS"/>
              </w:rPr>
              <w:t>No Paper Backups,system goes down, no work gets done and Information easily lost. Large corporate i</w:t>
            </w:r>
            <w:r>
              <w:rPr>
                <w:rFonts w:eastAsia="Arial Unicode MS" w:hAnsi="Arial Unicode MS" w:cs="Arial Unicode MS"/>
              </w:rPr>
              <w:t>nfrastructure, which means smaller voices can</w:t>
            </w:r>
            <w:r>
              <w:rPr>
                <w:rFonts w:ascii="Arial Unicode MS" w:eastAsia="Arial Unicode MS" w:cs="Arial Unicode MS"/>
              </w:rPr>
              <w:t>’</w:t>
            </w:r>
            <w:r>
              <w:rPr>
                <w:rFonts w:eastAsia="Arial Unicode MS" w:hAnsi="Arial Unicode MS" w:cs="Arial Unicode MS"/>
              </w:rPr>
              <w:t>t be heard. Less interaction between management and employees, so employees can easily get of track.</w:t>
            </w:r>
          </w:p>
        </w:tc>
      </w:tr>
      <w:tr w:rsidR="00F02E8B">
        <w:tblPrEx>
          <w:shd w:val="clear" w:color="auto" w:fill="auto"/>
        </w:tblPrEx>
        <w:trPr>
          <w:trHeight w:val="1200"/>
        </w:trPr>
        <w:tc>
          <w:tcPr>
            <w:tcW w:w="4680" w:type="dxa"/>
            <w:tcBorders>
              <w:top w:val="nil"/>
              <w:left w:val="nil"/>
              <w:bottom w:val="nil"/>
              <w:right w:val="nil"/>
            </w:tcBorders>
            <w:shd w:val="clear" w:color="auto" w:fill="489BC9"/>
            <w:tcMar>
              <w:top w:w="80" w:type="dxa"/>
              <w:left w:w="80" w:type="dxa"/>
              <w:bottom w:w="80" w:type="dxa"/>
              <w:right w:w="80" w:type="dxa"/>
            </w:tcMar>
          </w:tcPr>
          <w:p w:rsidR="00F02E8B" w:rsidRDefault="00DA5BEA">
            <w:pPr>
              <w:pStyle w:val="TableStyle3"/>
            </w:pPr>
            <w:r>
              <w:rPr>
                <w:rFonts w:eastAsia="Arial Unicode MS" w:hAnsi="Arial Unicode MS" w:cs="Arial Unicode MS"/>
                <w:color w:val="000000"/>
                <w:sz w:val="24"/>
                <w:szCs w:val="24"/>
              </w:rPr>
              <w:t>Opportunities</w:t>
            </w:r>
          </w:p>
        </w:tc>
        <w:tc>
          <w:tcPr>
            <w:tcW w:w="4680" w:type="dxa"/>
            <w:tcBorders>
              <w:top w:val="nil"/>
              <w:left w:val="nil"/>
              <w:bottom w:val="nil"/>
              <w:right w:val="nil"/>
            </w:tcBorders>
            <w:shd w:val="clear" w:color="auto" w:fill="auto"/>
            <w:tcMar>
              <w:top w:w="80" w:type="dxa"/>
              <w:left w:w="80" w:type="dxa"/>
              <w:bottom w:w="80" w:type="dxa"/>
              <w:right w:w="80" w:type="dxa"/>
            </w:tcMar>
          </w:tcPr>
          <w:p w:rsidR="00F02E8B" w:rsidRDefault="00DA5BEA">
            <w:r>
              <w:rPr>
                <w:rFonts w:ascii="Helvetica" w:hAnsi="Arial Unicode MS" w:cs="Arial Unicode MS"/>
              </w:rPr>
              <w:t>Change in economic business environment</w:t>
            </w:r>
          </w:p>
          <w:p w:rsidR="00F02E8B" w:rsidRDefault="00DA5BEA">
            <w:r>
              <w:rPr>
                <w:rFonts w:ascii="Helvetica" w:hAnsi="Arial Unicode MS" w:cs="Arial Unicode MS"/>
              </w:rPr>
              <w:t xml:space="preserve">National infrastructure investments and reaction to </w:t>
            </w:r>
            <w:r>
              <w:rPr>
                <w:rFonts w:ascii="Helvetica" w:hAnsi="Arial Unicode MS" w:cs="Arial Unicode MS"/>
              </w:rPr>
              <w:t>the global financial crisis</w:t>
            </w:r>
          </w:p>
          <w:p w:rsidR="00F02E8B" w:rsidRDefault="00DA5BEA">
            <w:r>
              <w:rPr>
                <w:rFonts w:ascii="Helvetica" w:hAnsi="Arial Unicode MS" w:cs="Arial Unicode MS"/>
              </w:rPr>
              <w:t>Pattern-based strategy</w:t>
            </w:r>
          </w:p>
          <w:p w:rsidR="00F02E8B" w:rsidRDefault="00DA5BEA">
            <w:pPr>
              <w:pStyle w:val="TableStyle2"/>
            </w:pPr>
            <w:r>
              <w:rPr>
                <w:rFonts w:eastAsia="Arial Unicode MS" w:hAnsi="Arial Unicode MS" w:cs="Arial Unicode MS"/>
              </w:rPr>
              <w:t>Other high-growth sectors</w:t>
            </w:r>
          </w:p>
        </w:tc>
      </w:tr>
      <w:tr w:rsidR="00F02E8B">
        <w:tblPrEx>
          <w:shd w:val="clear" w:color="auto" w:fill="auto"/>
        </w:tblPrEx>
        <w:trPr>
          <w:trHeight w:val="720"/>
        </w:trPr>
        <w:tc>
          <w:tcPr>
            <w:tcW w:w="4680" w:type="dxa"/>
            <w:tcBorders>
              <w:top w:val="nil"/>
              <w:left w:val="nil"/>
              <w:bottom w:val="nil"/>
              <w:right w:val="nil"/>
            </w:tcBorders>
            <w:shd w:val="clear" w:color="auto" w:fill="489BC9"/>
            <w:tcMar>
              <w:top w:w="80" w:type="dxa"/>
              <w:left w:w="80" w:type="dxa"/>
              <w:bottom w:w="80" w:type="dxa"/>
              <w:right w:w="80" w:type="dxa"/>
            </w:tcMar>
          </w:tcPr>
          <w:p w:rsidR="00F02E8B" w:rsidRDefault="00DA5BEA">
            <w:pPr>
              <w:pStyle w:val="TableStyle3"/>
            </w:pPr>
            <w:r>
              <w:rPr>
                <w:color w:val="000000"/>
                <w:sz w:val="24"/>
                <w:szCs w:val="24"/>
              </w:rPr>
              <w:t xml:space="preserve">       Threats</w:t>
            </w:r>
          </w:p>
        </w:tc>
        <w:tc>
          <w:tcPr>
            <w:tcW w:w="4680" w:type="dxa"/>
            <w:tcBorders>
              <w:top w:val="nil"/>
              <w:left w:val="nil"/>
              <w:bottom w:val="nil"/>
              <w:right w:val="nil"/>
            </w:tcBorders>
            <w:shd w:val="clear" w:color="auto" w:fill="EEEEEE"/>
            <w:tcMar>
              <w:top w:w="80" w:type="dxa"/>
              <w:left w:w="80" w:type="dxa"/>
              <w:bottom w:w="80" w:type="dxa"/>
              <w:right w:w="80" w:type="dxa"/>
            </w:tcMar>
          </w:tcPr>
          <w:p w:rsidR="00F02E8B" w:rsidRDefault="00DA5BEA">
            <w:r>
              <w:rPr>
                <w:rFonts w:ascii="Helvetica" w:hAnsi="Arial Unicode MS" w:cs="Arial Unicode MS"/>
              </w:rPr>
              <w:t>More-focused competitors from IT heritage</w:t>
            </w:r>
          </w:p>
          <w:p w:rsidR="00F02E8B" w:rsidRDefault="00DA5BEA">
            <w:r>
              <w:rPr>
                <w:rFonts w:ascii="Helvetica" w:hAnsi="Arial Unicode MS" w:cs="Arial Unicode MS"/>
              </w:rPr>
              <w:t>IT providers with business capability</w:t>
            </w:r>
          </w:p>
          <w:p w:rsidR="00F02E8B" w:rsidRDefault="00DA5BEA">
            <w:pPr>
              <w:pStyle w:val="TableStyle2"/>
            </w:pPr>
            <w:r>
              <w:rPr>
                <w:rFonts w:eastAsia="Arial Unicode MS" w:hAnsi="Arial Unicode MS" w:cs="Arial Unicode MS"/>
              </w:rPr>
              <w:t>Software brands</w:t>
            </w:r>
          </w:p>
        </w:tc>
      </w:tr>
    </w:tbl>
    <w:p w:rsidR="00F02E8B" w:rsidRDefault="00DA5BEA">
      <w:pPr>
        <w:pStyle w:val="Body"/>
        <w:spacing w:line="480" w:lineRule="auto"/>
        <w:rPr>
          <w:rFonts w:ascii="Arial" w:eastAsia="Arial" w:hAnsi="Arial" w:cs="Arial"/>
          <w:sz w:val="24"/>
          <w:szCs w:val="24"/>
        </w:rPr>
      </w:pPr>
      <w:r>
        <w:rPr>
          <w:rFonts w:ascii="Arial"/>
          <w:sz w:val="24"/>
          <w:szCs w:val="24"/>
        </w:rPr>
        <w:t xml:space="preserve">Deloitte LLP is a US-based member firm of Deloitte Touche </w:t>
      </w:r>
      <w:r>
        <w:rPr>
          <w:rFonts w:ascii="Arial"/>
          <w:sz w:val="24"/>
          <w:szCs w:val="24"/>
        </w:rPr>
        <w:t xml:space="preserve">Tohmatsu, one of the big four global accounting firms. One of the big </w:t>
      </w:r>
      <w:r>
        <w:rPr>
          <w:rFonts w:ascii="Arial"/>
          <w:sz w:val="24"/>
          <w:szCs w:val="24"/>
          <w:lang w:val="it-IT"/>
        </w:rPr>
        <w:t>competitor</w:t>
      </w:r>
      <w:r>
        <w:rPr>
          <w:rFonts w:ascii="Arial"/>
          <w:sz w:val="24"/>
          <w:szCs w:val="24"/>
        </w:rPr>
        <w:t xml:space="preserve"> is PwC (PricewaterhouseCoopers). Deloitte does have the advantage of more international projects than PwC because it is very large and the international offices are well </w:t>
      </w:r>
      <w:r>
        <w:rPr>
          <w:rFonts w:ascii="Arial"/>
          <w:sz w:val="24"/>
          <w:szCs w:val="24"/>
        </w:rPr>
        <w:t>established.</w:t>
      </w:r>
      <w:r>
        <w:rPr>
          <w:rFonts w:ascii="Arial"/>
          <w:sz w:val="24"/>
          <w:szCs w:val="24"/>
        </w:rPr>
        <w:t xml:space="preserve">Deloitte handily beat </w:t>
      </w:r>
      <w:r>
        <w:rPr>
          <w:rFonts w:ascii="Arial"/>
          <w:sz w:val="24"/>
          <w:szCs w:val="24"/>
        </w:rPr>
        <w:t>PwC in the areas of overall satisfaction, hours, and compensation, but PwC edged out Deloitte in prestige, culture, and business outlook,</w:t>
      </w:r>
      <w:r>
        <w:rPr>
          <w:rFonts w:hAnsi="Arial"/>
          <w:sz w:val="24"/>
          <w:szCs w:val="24"/>
        </w:rPr>
        <w:t>”</w:t>
      </w:r>
      <w:r>
        <w:rPr>
          <w:rFonts w:hAnsi="Arial"/>
          <w:sz w:val="24"/>
          <w:szCs w:val="24"/>
        </w:rPr>
        <w:t xml:space="preserve"> </w:t>
      </w:r>
      <w:r>
        <w:rPr>
          <w:rFonts w:ascii="Arial"/>
          <w:sz w:val="24"/>
          <w:szCs w:val="24"/>
        </w:rPr>
        <w:t>said Vault Finance Editor Derek Loosvelt.</w:t>
      </w:r>
      <w:r>
        <w:rPr>
          <w:rFonts w:ascii="Arial"/>
          <w:sz w:val="24"/>
          <w:szCs w:val="24"/>
        </w:rPr>
        <w:t>For many years, PwC has had the reputation</w:t>
      </w:r>
      <w:r>
        <w:rPr>
          <w:rFonts w:ascii="Arial"/>
          <w:sz w:val="24"/>
          <w:szCs w:val="24"/>
        </w:rPr>
        <w:t xml:space="preserve"> </w:t>
      </w:r>
      <w:r>
        <w:rPr>
          <w:rFonts w:ascii="Arial"/>
          <w:sz w:val="24"/>
          <w:szCs w:val="24"/>
        </w:rPr>
        <w:lastRenderedPageBreak/>
        <w:t>of the most selective firm when it comes to hiring recent graduates, maintaining a slightly more prestigious profile than its closest competitors Ernst &amp; Young and Deloitte. The 2011 Vault Accounting 50 determines the best accounting firms to work for, an</w:t>
      </w:r>
      <w:r>
        <w:rPr>
          <w:rFonts w:ascii="Arial"/>
          <w:sz w:val="24"/>
          <w:szCs w:val="24"/>
        </w:rPr>
        <w:t>d Deloitte took the top spot, followed by PricewaterhouseCoopers (pwc) and Rothstein Kass, respectively.</w:t>
      </w:r>
      <w:r>
        <w:rPr>
          <w:rFonts w:ascii="Arial"/>
          <w:sz w:val="24"/>
          <w:szCs w:val="24"/>
        </w:rPr>
        <w:br/>
        <w:t xml:space="preserve">The ten major trends that emerged from our research, which reflect four major themes for the year: leading, engaging, reinventing, and reimagining. We </w:t>
      </w:r>
      <w:r>
        <w:rPr>
          <w:rFonts w:ascii="Arial"/>
          <w:sz w:val="24"/>
          <w:szCs w:val="24"/>
        </w:rPr>
        <w:t>also present the capability gaps associated with each of these trends, and offer practical insights to help you address each of these challenges in your organization.</w:t>
      </w:r>
      <w:r>
        <w:rPr>
          <w:rFonts w:ascii="Arial" w:eastAsia="Arial" w:hAnsi="Arial" w:cs="Arial"/>
          <w:sz w:val="24"/>
          <w:szCs w:val="24"/>
        </w:rPr>
        <w:br/>
      </w: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F02E8B">
      <w:pPr>
        <w:pStyle w:val="Body"/>
        <w:spacing w:line="480" w:lineRule="auto"/>
        <w:rPr>
          <w:rFonts w:ascii="Arial" w:eastAsia="Arial" w:hAnsi="Arial" w:cs="Arial"/>
          <w:sz w:val="24"/>
          <w:szCs w:val="24"/>
        </w:rPr>
      </w:pPr>
    </w:p>
    <w:p w:rsidR="00F02E8B" w:rsidRDefault="00DA5BEA">
      <w:pPr>
        <w:pStyle w:val="Body"/>
        <w:spacing w:line="480" w:lineRule="auto"/>
        <w:rPr>
          <w:rFonts w:ascii="Arial" w:eastAsia="Arial" w:hAnsi="Arial" w:cs="Arial"/>
          <w:b/>
          <w:bCs/>
          <w:sz w:val="24"/>
          <w:szCs w:val="24"/>
        </w:rPr>
      </w:pPr>
      <w:r>
        <w:rPr>
          <w:rFonts w:ascii="Arial"/>
          <w:b/>
          <w:bCs/>
          <w:sz w:val="24"/>
          <w:szCs w:val="24"/>
        </w:rPr>
        <w:t xml:space="preserve">References: </w:t>
      </w:r>
    </w:p>
    <w:p w:rsidR="00F02E8B" w:rsidRDefault="00DA5BEA">
      <w:pPr>
        <w:pStyle w:val="Body"/>
        <w:spacing w:line="480" w:lineRule="auto"/>
        <w:rPr>
          <w:rFonts w:ascii="Arial" w:eastAsia="Arial" w:hAnsi="Arial" w:cs="Arial"/>
          <w:sz w:val="24"/>
          <w:szCs w:val="24"/>
        </w:rPr>
      </w:pPr>
      <w:r>
        <w:rPr>
          <w:rFonts w:ascii="Arial"/>
          <w:sz w:val="24"/>
          <w:szCs w:val="24"/>
        </w:rPr>
        <w:t xml:space="preserve">1  Deloitte web site, (2015), </w:t>
      </w:r>
      <w:hyperlink r:id="rId6" w:history="1">
        <w:r>
          <w:rPr>
            <w:rStyle w:val="Hyperlink0"/>
            <w:rFonts w:ascii="Arial"/>
            <w:sz w:val="24"/>
            <w:szCs w:val="24"/>
          </w:rPr>
          <w:t>http://www2.deloitte.com/us/en.html</w:t>
        </w:r>
      </w:hyperlink>
    </w:p>
    <w:p w:rsidR="00F02E8B" w:rsidRDefault="00DA5BEA">
      <w:pPr>
        <w:pStyle w:val="Body"/>
        <w:spacing w:line="480" w:lineRule="auto"/>
        <w:rPr>
          <w:rFonts w:ascii="Arial" w:eastAsia="Arial" w:hAnsi="Arial" w:cs="Arial"/>
          <w:sz w:val="24"/>
          <w:szCs w:val="24"/>
        </w:rPr>
      </w:pPr>
      <w:r>
        <w:rPr>
          <w:rFonts w:ascii="Arial"/>
          <w:sz w:val="24"/>
          <w:szCs w:val="24"/>
        </w:rPr>
        <w:lastRenderedPageBreak/>
        <w:t xml:space="preserve">2 Unknown, (Dec 9th 2010), </w:t>
      </w:r>
      <w:r>
        <w:rPr>
          <w:rFonts w:hAnsi="Arial"/>
          <w:sz w:val="24"/>
          <w:szCs w:val="24"/>
        </w:rPr>
        <w:t>“</w:t>
      </w:r>
      <w:r>
        <w:rPr>
          <w:rFonts w:ascii="Arial"/>
          <w:sz w:val="24"/>
          <w:szCs w:val="24"/>
        </w:rPr>
        <w:t>Deloitte, PricewaterhouseCoopers top 'best firms' lists</w:t>
      </w:r>
      <w:r>
        <w:rPr>
          <w:rFonts w:hAnsi="Arial"/>
          <w:sz w:val="24"/>
          <w:szCs w:val="24"/>
        </w:rPr>
        <w:t>”</w:t>
      </w:r>
      <w:r>
        <w:rPr>
          <w:rFonts w:ascii="Arial"/>
          <w:sz w:val="24"/>
          <w:szCs w:val="24"/>
        </w:rPr>
        <w:t xml:space="preserve">, </w:t>
      </w:r>
      <w:hyperlink r:id="rId7" w:history="1">
        <w:r>
          <w:rPr>
            <w:rStyle w:val="Hyperlink0"/>
            <w:rFonts w:ascii="Arial"/>
            <w:sz w:val="24"/>
            <w:szCs w:val="24"/>
          </w:rPr>
          <w:t>http://www</w:t>
        </w:r>
        <w:r>
          <w:rPr>
            <w:rStyle w:val="Hyperlink0"/>
            <w:rFonts w:ascii="Arial"/>
            <w:sz w:val="24"/>
            <w:szCs w:val="24"/>
          </w:rPr>
          <w:t>.accountingweb.com/aa/auditing/deloitte-pricewaterhousecoopers-top-best-firms-lists</w:t>
        </w:r>
      </w:hyperlink>
    </w:p>
    <w:p w:rsidR="00F02E8B" w:rsidRDefault="00DA5BEA">
      <w:pPr>
        <w:pStyle w:val="Body"/>
        <w:spacing w:line="480" w:lineRule="auto"/>
      </w:pPr>
      <w:r>
        <w:rPr>
          <w:rFonts w:ascii="Arial"/>
          <w:sz w:val="24"/>
          <w:szCs w:val="24"/>
        </w:rPr>
        <w:t xml:space="preserve">3 Newquist C, (Oct 5th 2010), </w:t>
      </w:r>
      <w:r>
        <w:rPr>
          <w:rFonts w:hAnsi="Arial"/>
          <w:sz w:val="24"/>
          <w:szCs w:val="24"/>
        </w:rPr>
        <w:t>“</w:t>
      </w:r>
      <w:r>
        <w:rPr>
          <w:rFonts w:ascii="Arial"/>
          <w:sz w:val="24"/>
          <w:szCs w:val="24"/>
        </w:rPr>
        <w:t>Deloitte Is Officially The Biggest of the Big 4, Says Deloitte</w:t>
      </w:r>
      <w:r>
        <w:rPr>
          <w:rFonts w:hAnsi="Arial"/>
          <w:sz w:val="24"/>
          <w:szCs w:val="24"/>
        </w:rPr>
        <w:t>”</w:t>
      </w:r>
      <w:r>
        <w:rPr>
          <w:rFonts w:ascii="Arial"/>
          <w:sz w:val="24"/>
          <w:szCs w:val="24"/>
        </w:rPr>
        <w:t xml:space="preserve">, </w:t>
      </w:r>
      <w:r>
        <w:rPr>
          <w:rFonts w:ascii="Arial"/>
          <w:sz w:val="24"/>
          <w:szCs w:val="24"/>
        </w:rPr>
        <w:t>http://goingconcern.com/2010/10/deloitte-is-officially-the-biggest-of-the-bi</w:t>
      </w:r>
      <w:r>
        <w:rPr>
          <w:rFonts w:ascii="Arial"/>
          <w:sz w:val="24"/>
          <w:szCs w:val="24"/>
        </w:rPr>
        <w:t>g-4-says-deloitte</w:t>
      </w:r>
    </w:p>
    <w:sectPr w:rsidR="00F02E8B" w:rsidSect="00F02E8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EA" w:rsidRDefault="00DA5BEA" w:rsidP="00F02E8B">
      <w:r>
        <w:separator/>
      </w:r>
    </w:p>
  </w:endnote>
  <w:endnote w:type="continuationSeparator" w:id="1">
    <w:p w:rsidR="00DA5BEA" w:rsidRDefault="00DA5BEA" w:rsidP="00F02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8B" w:rsidRDefault="00F02E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EA" w:rsidRDefault="00DA5BEA" w:rsidP="00F02E8B">
      <w:r>
        <w:separator/>
      </w:r>
    </w:p>
  </w:footnote>
  <w:footnote w:type="continuationSeparator" w:id="1">
    <w:p w:rsidR="00DA5BEA" w:rsidRDefault="00DA5BEA" w:rsidP="00F02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8B" w:rsidRDefault="00F02E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02E8B"/>
    <w:rsid w:val="00460EBB"/>
    <w:rsid w:val="00DA5BEA"/>
    <w:rsid w:val="00F0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E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E8B"/>
    <w:rPr>
      <w:u w:val="single"/>
    </w:rPr>
  </w:style>
  <w:style w:type="paragraph" w:customStyle="1" w:styleId="Body">
    <w:name w:val="Body"/>
    <w:rsid w:val="00F02E8B"/>
    <w:rPr>
      <w:rFonts w:ascii="Helvetica" w:hAnsi="Arial Unicode MS" w:cs="Arial Unicode MS"/>
      <w:color w:val="000000"/>
      <w:sz w:val="22"/>
      <w:szCs w:val="22"/>
    </w:rPr>
  </w:style>
  <w:style w:type="paragraph" w:customStyle="1" w:styleId="TableStyle1">
    <w:name w:val="Table Style 1"/>
    <w:rsid w:val="00F02E8B"/>
    <w:rPr>
      <w:rFonts w:ascii="Helvetica" w:hAnsi="Arial Unicode MS" w:cs="Arial Unicode MS"/>
      <w:b/>
      <w:bCs/>
      <w:color w:val="000000"/>
    </w:rPr>
  </w:style>
  <w:style w:type="paragraph" w:customStyle="1" w:styleId="TableStyle3">
    <w:name w:val="Table Style 3"/>
    <w:rsid w:val="00F02E8B"/>
    <w:rPr>
      <w:rFonts w:ascii="Helvetica" w:eastAsia="Helvetica" w:hAnsi="Helvetica" w:cs="Helvetica"/>
      <w:color w:val="FEFFFE"/>
    </w:rPr>
  </w:style>
  <w:style w:type="paragraph" w:customStyle="1" w:styleId="TableStyle2">
    <w:name w:val="Table Style 2"/>
    <w:rsid w:val="00F02E8B"/>
    <w:rPr>
      <w:rFonts w:ascii="Helvetica" w:eastAsia="Helvetica" w:hAnsi="Helvetica" w:cs="Helvetica"/>
      <w:color w:val="000000"/>
    </w:rPr>
  </w:style>
  <w:style w:type="character" w:customStyle="1" w:styleId="Hyperlink0">
    <w:name w:val="Hyperlink.0"/>
    <w:basedOn w:val="Hyperlink"/>
    <w:rsid w:val="00F02E8B"/>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ountingweb.com/aa/auditing/deloitte-pricewaterhousecoopers-top-best-firms-l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deloitte.com/us/e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cp:lastModifiedBy>
  <cp:revision>2</cp:revision>
  <dcterms:created xsi:type="dcterms:W3CDTF">2015-10-01T10:47:00Z</dcterms:created>
  <dcterms:modified xsi:type="dcterms:W3CDTF">2015-10-01T10:48:00Z</dcterms:modified>
</cp:coreProperties>
</file>