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A2E" w:rsidRDefault="008B7A2E" w:rsidP="008B7A2E">
      <w:pPr>
        <w:pStyle w:val="NormalWeb"/>
        <w:spacing w:before="0" w:beforeAutospacing="0" w:after="150" w:afterAutospacing="0"/>
      </w:pPr>
      <w:r>
        <w:t>https://www.eeoc.gov/newsroom/allsups-settles-eeoc-pregnancy-and-disability-discrimination-lawsuit-950000</w:t>
      </w:r>
    </w:p>
    <w:p w:rsidR="008B7A2E" w:rsidRDefault="008B7A2E" w:rsidP="008B7A2E">
      <w:pPr>
        <w:pStyle w:val="NormalWeb"/>
        <w:spacing w:before="0" w:beforeAutospacing="0" w:after="150" w:afterAutospacing="0"/>
      </w:pPr>
    </w:p>
    <w:p w:rsidR="008B7A2E" w:rsidRDefault="008B7A2E" w:rsidP="008B7A2E">
      <w:pPr>
        <w:pStyle w:val="NormalWeb"/>
        <w:spacing w:before="0" w:beforeAutospacing="0" w:after="150" w:afterAutospacing="0"/>
      </w:pPr>
      <w:r>
        <w:t>https://www.eeoc.gov/newsroom/banner-health-settles-eeoc-disability-discrimination-lawsuit-255000</w:t>
      </w:r>
    </w:p>
    <w:p w:rsidR="00BB3EAE" w:rsidRDefault="00BB3EAE"/>
    <w:sectPr w:rsidR="00BB3EAE" w:rsidSect="00BB3E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B7A2E"/>
    <w:rsid w:val="008B7A2E"/>
    <w:rsid w:val="00BB3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E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B7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0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2021-04-12T05:12:00Z</dcterms:created>
  <dcterms:modified xsi:type="dcterms:W3CDTF">2021-04-12T05:12:00Z</dcterms:modified>
</cp:coreProperties>
</file>