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694" w:rsidRDefault="00047694" w:rsidP="00047694">
      <w:hyperlink r:id="rId4" w:history="1">
        <w:r>
          <w:rPr>
            <w:rStyle w:val="Hyperlink"/>
          </w:rPr>
          <w:t>https://www.forbes.com/sites/shehanchandrasekera/2021/01/11/how-are-cryptocurrencies-taxed/?sh=268b030c6812</w:t>
        </w:r>
      </w:hyperlink>
    </w:p>
    <w:p w:rsidR="00C31645" w:rsidRDefault="00C31645"/>
    <w:sectPr w:rsidR="00C31645" w:rsidSect="00C316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047694"/>
    <w:rsid w:val="00047694"/>
    <w:rsid w:val="00C31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694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476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1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orbes.com/sites/shehanchandrasekera/2021/01/11/how-are-cryptocurrencies-taxed/?sh=268b030c68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2021-03-31T04:51:00Z</dcterms:created>
  <dcterms:modified xsi:type="dcterms:W3CDTF">2021-03-31T04:51:00Z</dcterms:modified>
</cp:coreProperties>
</file>