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2DA" w:rsidRPr="00B622DA" w:rsidRDefault="00B622DA" w:rsidP="00B622DA">
      <w:pPr>
        <w:pBdr>
          <w:bottom w:val="single" w:sz="6" w:space="1" w:color="auto"/>
        </w:pBdr>
        <w:spacing w:after="0" w:line="240" w:lineRule="auto"/>
        <w:jc w:val="center"/>
        <w:rPr>
          <w:rFonts w:ascii="Arial" w:eastAsia="Times New Roman" w:hAnsi="Arial" w:cs="Arial"/>
          <w:vanish/>
          <w:sz w:val="16"/>
          <w:szCs w:val="16"/>
        </w:rPr>
      </w:pPr>
      <w:bookmarkStart w:id="0" w:name="_GoBack"/>
      <w:bookmarkEnd w:id="0"/>
      <w:r w:rsidRPr="00B622DA">
        <w:rPr>
          <w:rFonts w:ascii="Arial" w:eastAsia="Times New Roman" w:hAnsi="Arial" w:cs="Arial"/>
          <w:vanish/>
          <w:sz w:val="16"/>
          <w:szCs w:val="16"/>
        </w:rPr>
        <w:t>Top of Form</w:t>
      </w: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The Value of Management Research for Decision-Making</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Dear Class,</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b/>
          <w:bCs/>
          <w:color w:val="000000"/>
          <w:sz w:val="24"/>
          <w:szCs w:val="24"/>
        </w:rPr>
        <w:t>Introduction</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Just imagine yourself waking up one day having been appointed the Chief Executive Officer of a giant global Information technology firm. And you are assigned to run and oversee its day to day functions amid the stiffening and ever growing competition in today’s world. And you find yourself in a pool of ever mounting pressure from the result oriented directors. This situation definitely calls for rising up and employ a total implementation of a substantial management research by engaging a practitioner researcher of some sort. The whole situation becomes an awakening call to the value of management research for decision making.</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 xml:space="preserve">Research of late has proven to be a vital instrument in enhancing the future of an </w:t>
      </w:r>
      <w:proofErr w:type="spellStart"/>
      <w:r w:rsidRPr="00B622DA">
        <w:rPr>
          <w:rFonts w:ascii="Times New Roman" w:eastAsia="Times New Roman" w:hAnsi="Times New Roman" w:cs="Times New Roman"/>
          <w:color w:val="000000"/>
          <w:sz w:val="24"/>
          <w:szCs w:val="24"/>
        </w:rPr>
        <w:t>organisation</w:t>
      </w:r>
      <w:proofErr w:type="spellEnd"/>
      <w:r w:rsidRPr="00B622DA">
        <w:rPr>
          <w:rFonts w:ascii="Times New Roman" w:eastAsia="Times New Roman" w:hAnsi="Times New Roman" w:cs="Times New Roman"/>
          <w:color w:val="000000"/>
          <w:sz w:val="24"/>
          <w:szCs w:val="24"/>
        </w:rPr>
        <w:t xml:space="preserve"> or endorsing the downfall of an </w:t>
      </w:r>
      <w:proofErr w:type="spellStart"/>
      <w:r w:rsidRPr="00B622DA">
        <w:rPr>
          <w:rFonts w:ascii="Times New Roman" w:eastAsia="Times New Roman" w:hAnsi="Times New Roman" w:cs="Times New Roman"/>
          <w:color w:val="000000"/>
          <w:sz w:val="24"/>
          <w:szCs w:val="24"/>
        </w:rPr>
        <w:t>organisation</w:t>
      </w:r>
      <w:proofErr w:type="spellEnd"/>
      <w:r w:rsidRPr="00B622DA">
        <w:rPr>
          <w:rFonts w:ascii="Times New Roman" w:eastAsia="Times New Roman" w:hAnsi="Times New Roman" w:cs="Times New Roman"/>
          <w:color w:val="000000"/>
          <w:sz w:val="24"/>
          <w:szCs w:val="24"/>
        </w:rPr>
        <w:t xml:space="preserve">. Whether be qualitative or </w:t>
      </w:r>
      <w:proofErr w:type="spellStart"/>
      <w:r w:rsidRPr="00B622DA">
        <w:rPr>
          <w:rFonts w:ascii="Times New Roman" w:eastAsia="Times New Roman" w:hAnsi="Times New Roman" w:cs="Times New Roman"/>
          <w:color w:val="000000"/>
          <w:sz w:val="24"/>
          <w:szCs w:val="24"/>
        </w:rPr>
        <w:t>quantitave</w:t>
      </w:r>
      <w:proofErr w:type="spellEnd"/>
      <w:r w:rsidRPr="00B622DA">
        <w:rPr>
          <w:rFonts w:ascii="Times New Roman" w:eastAsia="Times New Roman" w:hAnsi="Times New Roman" w:cs="Times New Roman"/>
          <w:color w:val="000000"/>
          <w:sz w:val="24"/>
          <w:szCs w:val="24"/>
        </w:rPr>
        <w:t xml:space="preserve"> the data provided can be a great pivot for success.</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b/>
          <w:bCs/>
          <w:color w:val="000000"/>
          <w:sz w:val="24"/>
          <w:szCs w:val="24"/>
        </w:rPr>
        <w:t>‘Understanding and supporting the career implications of international assignments’</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Unit 1 puts us through three examples which are vitally interrelated. The first example has been titled, ‘Understanding and supporting the career implications of international assignments’ by Collings et al (2011)</w:t>
      </w:r>
      <w:proofErr w:type="gramStart"/>
      <w:r w:rsidRPr="00B622DA">
        <w:rPr>
          <w:rFonts w:ascii="Times New Roman" w:eastAsia="Times New Roman" w:hAnsi="Times New Roman" w:cs="Times New Roman"/>
          <w:color w:val="000000"/>
          <w:sz w:val="24"/>
          <w:szCs w:val="24"/>
        </w:rPr>
        <w:t>,This</w:t>
      </w:r>
      <w:proofErr w:type="gramEnd"/>
      <w:r w:rsidRPr="00B622DA">
        <w:rPr>
          <w:rFonts w:ascii="Times New Roman" w:eastAsia="Times New Roman" w:hAnsi="Times New Roman" w:cs="Times New Roman"/>
          <w:color w:val="000000"/>
          <w:sz w:val="24"/>
          <w:szCs w:val="24"/>
        </w:rPr>
        <w:t xml:space="preserve"> paper highlighted the type of life processes faced by the assignees before, during and after the execution of their assignments. It goes on to highlight the transitions involved, which can affect the psychological and character disposition of an individual. The paper concludes by highlighting the importance of proper repatriation of the assignees. Collings et </w:t>
      </w:r>
      <w:proofErr w:type="spellStart"/>
      <w:r w:rsidRPr="00B622DA">
        <w:rPr>
          <w:rFonts w:ascii="Times New Roman" w:eastAsia="Times New Roman" w:hAnsi="Times New Roman" w:cs="Times New Roman"/>
          <w:color w:val="000000"/>
          <w:sz w:val="24"/>
          <w:szCs w:val="24"/>
        </w:rPr>
        <w:t>al.</w:t>
      </w:r>
      <w:proofErr w:type="gramStart"/>
      <w:r w:rsidRPr="00B622DA">
        <w:rPr>
          <w:rFonts w:ascii="Times New Roman" w:eastAsia="Times New Roman" w:hAnsi="Times New Roman" w:cs="Times New Roman"/>
          <w:color w:val="000000"/>
          <w:sz w:val="24"/>
          <w:szCs w:val="24"/>
        </w:rPr>
        <w:t>,as</w:t>
      </w:r>
      <w:proofErr w:type="spellEnd"/>
      <w:proofErr w:type="gramEnd"/>
      <w:r w:rsidRPr="00B622DA">
        <w:rPr>
          <w:rFonts w:ascii="Times New Roman" w:eastAsia="Times New Roman" w:hAnsi="Times New Roman" w:cs="Times New Roman"/>
          <w:color w:val="000000"/>
          <w:sz w:val="24"/>
          <w:szCs w:val="24"/>
        </w:rPr>
        <w:t xml:space="preserve"> a formidable team of well qualified academics and leaders recap by highlighting the avenues for future research especially in the trends of </w:t>
      </w:r>
      <w:proofErr w:type="spellStart"/>
      <w:r w:rsidRPr="00B622DA">
        <w:rPr>
          <w:rFonts w:ascii="Times New Roman" w:eastAsia="Times New Roman" w:hAnsi="Times New Roman" w:cs="Times New Roman"/>
          <w:color w:val="000000"/>
          <w:sz w:val="24"/>
          <w:szCs w:val="24"/>
        </w:rPr>
        <w:t>globalisation</w:t>
      </w:r>
      <w:proofErr w:type="spellEnd"/>
      <w:r w:rsidRPr="00B622DA">
        <w:rPr>
          <w:rFonts w:ascii="Times New Roman" w:eastAsia="Times New Roman" w:hAnsi="Times New Roman" w:cs="Times New Roman"/>
          <w:color w:val="000000"/>
          <w:sz w:val="24"/>
          <w:szCs w:val="24"/>
        </w:rPr>
        <w:t>.</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b/>
          <w:bCs/>
          <w:color w:val="000000"/>
          <w:sz w:val="24"/>
          <w:szCs w:val="24"/>
        </w:rPr>
        <w:t>The effect of Ethnic Diversity on Expatriate Managers in Their Host Country</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lastRenderedPageBreak/>
        <w:t>The second example by Freeman and Lindsay</w:t>
      </w:r>
      <w:proofErr w:type="gramStart"/>
      <w:r w:rsidRPr="00B622DA">
        <w:rPr>
          <w:rFonts w:ascii="Times New Roman" w:eastAsia="Times New Roman" w:hAnsi="Times New Roman" w:cs="Times New Roman"/>
          <w:color w:val="000000"/>
          <w:sz w:val="24"/>
          <w:szCs w:val="24"/>
        </w:rPr>
        <w:t>,(</w:t>
      </w:r>
      <w:proofErr w:type="gramEnd"/>
      <w:r w:rsidRPr="00B622DA">
        <w:rPr>
          <w:rFonts w:ascii="Times New Roman" w:eastAsia="Times New Roman" w:hAnsi="Times New Roman" w:cs="Times New Roman"/>
          <w:color w:val="000000"/>
          <w:sz w:val="24"/>
          <w:szCs w:val="24"/>
        </w:rPr>
        <w:t>2012), titled ’The effect of Ethnic Diversity on Expatriate Managers in Their Host Country’, highlights the effects of ethnically diverse environments. How the diversity affects productivity and performance. It is a well-known thing that communication in most foreign subsidies is a challenge. Their emphasis is on the need of refinement of current theories as far as social identity is concerned. There is also great need for mangers and leaders to be in the lead as far as understanding diverse ethnicity are concerned.</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b/>
          <w:bCs/>
          <w:color w:val="000000"/>
          <w:sz w:val="24"/>
          <w:szCs w:val="24"/>
        </w:rPr>
        <w:t>Cross-cultural training and expatriate adjustment: A study of western expatriates in Nigeria</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 xml:space="preserve">The third example by </w:t>
      </w:r>
      <w:proofErr w:type="spellStart"/>
      <w:r w:rsidRPr="00B622DA">
        <w:rPr>
          <w:rFonts w:ascii="Times New Roman" w:eastAsia="Times New Roman" w:hAnsi="Times New Roman" w:cs="Times New Roman"/>
          <w:color w:val="000000"/>
          <w:sz w:val="24"/>
          <w:szCs w:val="24"/>
        </w:rPr>
        <w:t>Okpara</w:t>
      </w:r>
      <w:proofErr w:type="spellEnd"/>
      <w:r w:rsidRPr="00B622DA">
        <w:rPr>
          <w:rFonts w:ascii="Times New Roman" w:eastAsia="Times New Roman" w:hAnsi="Times New Roman" w:cs="Times New Roman"/>
          <w:color w:val="000000"/>
          <w:sz w:val="24"/>
          <w:szCs w:val="24"/>
        </w:rPr>
        <w:t xml:space="preserve"> and </w:t>
      </w:r>
      <w:proofErr w:type="spellStart"/>
      <w:r w:rsidRPr="00B622DA">
        <w:rPr>
          <w:rFonts w:ascii="Times New Roman" w:eastAsia="Times New Roman" w:hAnsi="Times New Roman" w:cs="Times New Roman"/>
          <w:color w:val="000000"/>
          <w:sz w:val="24"/>
          <w:szCs w:val="24"/>
        </w:rPr>
        <w:t>Kabongo</w:t>
      </w:r>
      <w:proofErr w:type="spellEnd"/>
      <w:r w:rsidRPr="00B622DA">
        <w:rPr>
          <w:rFonts w:ascii="Times New Roman" w:eastAsia="Times New Roman" w:hAnsi="Times New Roman" w:cs="Times New Roman"/>
          <w:color w:val="000000"/>
          <w:sz w:val="24"/>
          <w:szCs w:val="24"/>
        </w:rPr>
        <w:t xml:space="preserve"> (2011),”Cross-cultural training and expatriate adjustment: A study of western expatriates in Nigeria “This comprehensive quantitative research puts an emphasis on the difficulties faced in retaining expatriates for their global operations. They cite the difficulties in the expatriate managers and their families in failing to adapting to the host country’s culture. This study was conducted across Nigeria where a substantive sample of expatriate managers was studied to establish these </w:t>
      </w:r>
      <w:proofErr w:type="spellStart"/>
      <w:r w:rsidRPr="00B622DA">
        <w:rPr>
          <w:rFonts w:ascii="Times New Roman" w:eastAsia="Times New Roman" w:hAnsi="Times New Roman" w:cs="Times New Roman"/>
          <w:color w:val="000000"/>
          <w:sz w:val="24"/>
          <w:szCs w:val="24"/>
        </w:rPr>
        <w:t>adaptational</w:t>
      </w:r>
      <w:proofErr w:type="spellEnd"/>
      <w:r w:rsidRPr="00B622DA">
        <w:rPr>
          <w:rFonts w:ascii="Times New Roman" w:eastAsia="Times New Roman" w:hAnsi="Times New Roman" w:cs="Times New Roman"/>
          <w:color w:val="000000"/>
          <w:sz w:val="24"/>
          <w:szCs w:val="24"/>
        </w:rPr>
        <w:t xml:space="preserve"> difficulties. They touched and discussed the three facets of adjustment which are work, relational and general adjustments. Further highlight was on the need to have literature that effectively emphasize on the need of cross cultural training for expatriates managers. On the limitations they cited the need to have the study extended to other family members of the affected so as to avoid have biased investigations and outcomes. This type of spread is called longitudinal approach.</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 xml:space="preserve">First and foremost, the topics of these articles though written to address different spectrums, they are similar in sense and presentations. Three articles proud themselves in sourcing evidence and facts from well accredited articles across the board. Despite the in-depth research the articles go ahead to </w:t>
      </w:r>
      <w:proofErr w:type="spellStart"/>
      <w:r w:rsidRPr="00B622DA">
        <w:rPr>
          <w:rFonts w:ascii="Times New Roman" w:eastAsia="Times New Roman" w:hAnsi="Times New Roman" w:cs="Times New Roman"/>
          <w:color w:val="000000"/>
          <w:sz w:val="24"/>
          <w:szCs w:val="24"/>
        </w:rPr>
        <w:t>emphasise</w:t>
      </w:r>
      <w:proofErr w:type="spellEnd"/>
      <w:r w:rsidRPr="00B622DA">
        <w:rPr>
          <w:rFonts w:ascii="Times New Roman" w:eastAsia="Times New Roman" w:hAnsi="Times New Roman" w:cs="Times New Roman"/>
          <w:color w:val="000000"/>
          <w:sz w:val="24"/>
          <w:szCs w:val="24"/>
        </w:rPr>
        <w:t xml:space="preserve"> the need for further research on the given matters. They all sink deeply in the plight faced by expatriate managers as international assignees.</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The differences thus observed, the first two articles based their research on qualitative analysis, taking their time in interviewing the concerned parties, raising arguments and supportive information on facts and affirmations given. The last article or research dealt more on facts and analytical figures. It addressed its evidences on a quantitative scale analysis.</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proofErr w:type="spellStart"/>
      <w:r w:rsidRPr="00B622DA">
        <w:rPr>
          <w:rFonts w:ascii="Times New Roman" w:eastAsia="Times New Roman" w:hAnsi="Times New Roman" w:cs="Times New Roman"/>
          <w:color w:val="000000"/>
          <w:sz w:val="24"/>
          <w:szCs w:val="24"/>
        </w:rPr>
        <w:t>Easterby</w:t>
      </w:r>
      <w:proofErr w:type="spellEnd"/>
      <w:r w:rsidRPr="00B622DA">
        <w:rPr>
          <w:rFonts w:ascii="Times New Roman" w:eastAsia="Times New Roman" w:hAnsi="Times New Roman" w:cs="Times New Roman"/>
          <w:color w:val="000000"/>
          <w:sz w:val="24"/>
          <w:szCs w:val="24"/>
        </w:rPr>
        <w:t xml:space="preserve">-Smith and Jackson (2012) affirm that management research may concentrate on the nature and consequences of managerial actions, often taking a critical edge, and covers any kind of organization, both public and private. Manager could use the findings and conclusions </w:t>
      </w:r>
      <w:r w:rsidRPr="00B622DA">
        <w:rPr>
          <w:rFonts w:ascii="Times New Roman" w:eastAsia="Times New Roman" w:hAnsi="Times New Roman" w:cs="Times New Roman"/>
          <w:color w:val="000000"/>
          <w:sz w:val="24"/>
          <w:szCs w:val="24"/>
        </w:rPr>
        <w:lastRenderedPageBreak/>
        <w:t xml:space="preserve">presented in each example by adopting the findings and turning them into a skill that can enhance the global economy, for international assignments remain an important part of global economies. These findings are an important enhancement in the cross culture training for the foreign assignees. From the three examples I </w:t>
      </w:r>
      <w:proofErr w:type="spellStart"/>
      <w:r w:rsidRPr="00B622DA">
        <w:rPr>
          <w:rFonts w:ascii="Times New Roman" w:eastAsia="Times New Roman" w:hAnsi="Times New Roman" w:cs="Times New Roman"/>
          <w:color w:val="000000"/>
          <w:sz w:val="24"/>
          <w:szCs w:val="24"/>
        </w:rPr>
        <w:t>realised</w:t>
      </w:r>
      <w:proofErr w:type="spellEnd"/>
      <w:r w:rsidRPr="00B622DA">
        <w:rPr>
          <w:rFonts w:ascii="Times New Roman" w:eastAsia="Times New Roman" w:hAnsi="Times New Roman" w:cs="Times New Roman"/>
          <w:color w:val="000000"/>
          <w:sz w:val="24"/>
          <w:szCs w:val="24"/>
        </w:rPr>
        <w:t xml:space="preserve"> as well that truly speaking, knowing the culture, knowing the environmental aspects and language of where you are going to settle in a foreign country is virtually not enough, but cross cultural training is the remedy of all facets of international </w:t>
      </w:r>
      <w:proofErr w:type="spellStart"/>
      <w:r w:rsidRPr="00B622DA">
        <w:rPr>
          <w:rFonts w:ascii="Times New Roman" w:eastAsia="Times New Roman" w:hAnsi="Times New Roman" w:cs="Times New Roman"/>
          <w:color w:val="000000"/>
          <w:sz w:val="24"/>
          <w:szCs w:val="24"/>
        </w:rPr>
        <w:t>assignees.Mendenhall</w:t>
      </w:r>
      <w:proofErr w:type="spellEnd"/>
      <w:r w:rsidRPr="00B622DA">
        <w:rPr>
          <w:rFonts w:ascii="Times New Roman" w:eastAsia="Times New Roman" w:hAnsi="Times New Roman" w:cs="Times New Roman"/>
          <w:color w:val="000000"/>
          <w:sz w:val="24"/>
          <w:szCs w:val="24"/>
        </w:rPr>
        <w:t xml:space="preserve"> and Stahl (2000) maintain the sentiment that in-country training can provide on-going support for the assignee while on assignment .Basically training should never stop.</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 </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 xml:space="preserve">In my own opinion the manager is likely to see the studies as of equal values and the different approaches obviously leading to study value mainly  because the information provided by these researches is of paramount importance in equipping every deserving manager in knowing how to deal with circumstances tormenting the foreign </w:t>
      </w:r>
      <w:proofErr w:type="spellStart"/>
      <w:r w:rsidRPr="00B622DA">
        <w:rPr>
          <w:rFonts w:ascii="Times New Roman" w:eastAsia="Times New Roman" w:hAnsi="Times New Roman" w:cs="Times New Roman"/>
          <w:color w:val="000000"/>
          <w:sz w:val="24"/>
          <w:szCs w:val="24"/>
        </w:rPr>
        <w:t>asignees.The</w:t>
      </w:r>
      <w:proofErr w:type="spellEnd"/>
      <w:r w:rsidRPr="00B622DA">
        <w:rPr>
          <w:rFonts w:ascii="Times New Roman" w:eastAsia="Times New Roman" w:hAnsi="Times New Roman" w:cs="Times New Roman"/>
          <w:color w:val="000000"/>
          <w:sz w:val="24"/>
          <w:szCs w:val="24"/>
        </w:rPr>
        <w:t xml:space="preserve"> deep analysis presented here, leads to be awareness to important issues met by foreign assignees such as dealing with  ethnic diversification, how best to  retain these assignees so as to avoid having them return home prematurely. Basically the most important thing is support in these circumstances. Feldman and Thomas (1992), feel that the organization that values the assignee contribution, cares about their wellbeing and supports their career development is positively associated with their commitment to the organization.</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240"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 </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 </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b/>
          <w:bCs/>
          <w:color w:val="000000"/>
          <w:sz w:val="24"/>
          <w:szCs w:val="24"/>
        </w:rPr>
        <w:t>References</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 xml:space="preserve">Collings, D.G., N. Doherty, </w:t>
      </w:r>
      <w:proofErr w:type="spellStart"/>
      <w:r w:rsidRPr="00B622DA">
        <w:rPr>
          <w:rFonts w:ascii="Times New Roman" w:eastAsia="Times New Roman" w:hAnsi="Times New Roman" w:cs="Times New Roman"/>
          <w:color w:val="000000"/>
          <w:sz w:val="24"/>
          <w:szCs w:val="24"/>
        </w:rPr>
        <w:t>M.Luethy</w:t>
      </w:r>
      <w:proofErr w:type="spellEnd"/>
      <w:r w:rsidRPr="00B622DA">
        <w:rPr>
          <w:rFonts w:ascii="Times New Roman" w:eastAsia="Times New Roman" w:hAnsi="Times New Roman" w:cs="Times New Roman"/>
          <w:color w:val="000000"/>
          <w:sz w:val="24"/>
          <w:szCs w:val="24"/>
        </w:rPr>
        <w:t xml:space="preserve"> &amp; D. Osborn, (2011), Understanding and Supporting </w:t>
      </w:r>
      <w:proofErr w:type="gramStart"/>
      <w:r w:rsidRPr="00B622DA">
        <w:rPr>
          <w:rFonts w:ascii="Times New Roman" w:eastAsia="Times New Roman" w:hAnsi="Times New Roman" w:cs="Times New Roman"/>
          <w:color w:val="000000"/>
          <w:sz w:val="24"/>
          <w:szCs w:val="24"/>
        </w:rPr>
        <w:t>The</w:t>
      </w:r>
      <w:proofErr w:type="gramEnd"/>
      <w:r w:rsidRPr="00B622DA">
        <w:rPr>
          <w:rFonts w:ascii="Times New Roman" w:eastAsia="Times New Roman" w:hAnsi="Times New Roman" w:cs="Times New Roman"/>
          <w:color w:val="000000"/>
          <w:sz w:val="24"/>
          <w:szCs w:val="24"/>
        </w:rPr>
        <w:t xml:space="preserve"> Career Implications of International Assignments, </w:t>
      </w:r>
      <w:r w:rsidRPr="00B622DA">
        <w:rPr>
          <w:rFonts w:ascii="Times New Roman" w:eastAsia="Times New Roman" w:hAnsi="Times New Roman" w:cs="Times New Roman"/>
          <w:i/>
          <w:iCs/>
          <w:color w:val="000000"/>
          <w:sz w:val="24"/>
          <w:szCs w:val="24"/>
        </w:rPr>
        <w:t xml:space="preserve">Journal of Vocational </w:t>
      </w:r>
      <w:proofErr w:type="spellStart"/>
      <w:r w:rsidRPr="00B622DA">
        <w:rPr>
          <w:rFonts w:ascii="Times New Roman" w:eastAsia="Times New Roman" w:hAnsi="Times New Roman" w:cs="Times New Roman"/>
          <w:i/>
          <w:iCs/>
          <w:color w:val="000000"/>
          <w:sz w:val="24"/>
          <w:szCs w:val="24"/>
        </w:rPr>
        <w:t>Behaviour</w:t>
      </w:r>
      <w:proofErr w:type="spellEnd"/>
      <w:r w:rsidRPr="00B622DA">
        <w:rPr>
          <w:rFonts w:ascii="Times New Roman" w:eastAsia="Times New Roman" w:hAnsi="Times New Roman" w:cs="Times New Roman"/>
          <w:color w:val="000000"/>
          <w:sz w:val="24"/>
          <w:szCs w:val="24"/>
        </w:rPr>
        <w:t xml:space="preserve"> 78(1) pp.361-371.</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proofErr w:type="spellStart"/>
      <w:r w:rsidRPr="00B622DA">
        <w:rPr>
          <w:rFonts w:ascii="Times New Roman" w:eastAsia="Times New Roman" w:hAnsi="Times New Roman" w:cs="Times New Roman"/>
          <w:color w:val="000000"/>
          <w:sz w:val="24"/>
          <w:szCs w:val="24"/>
          <w:bdr w:val="none" w:sz="0" w:space="0" w:color="auto" w:frame="1"/>
        </w:rPr>
        <w:lastRenderedPageBreak/>
        <w:t>Easterby</w:t>
      </w:r>
      <w:proofErr w:type="spellEnd"/>
      <w:r w:rsidRPr="00B622DA">
        <w:rPr>
          <w:rFonts w:ascii="Times New Roman" w:eastAsia="Times New Roman" w:hAnsi="Times New Roman" w:cs="Times New Roman"/>
          <w:color w:val="000000"/>
          <w:sz w:val="24"/>
          <w:szCs w:val="24"/>
          <w:bdr w:val="none" w:sz="0" w:space="0" w:color="auto" w:frame="1"/>
        </w:rPr>
        <w:t>-Smith, M., Thorpe, R., &amp; Jackson, P., (2012) </w:t>
      </w:r>
      <w:r w:rsidRPr="00B622DA">
        <w:rPr>
          <w:rFonts w:ascii="Times New Roman" w:eastAsia="Times New Roman" w:hAnsi="Times New Roman" w:cs="Times New Roman"/>
          <w:i/>
          <w:iCs/>
          <w:color w:val="000000"/>
          <w:sz w:val="24"/>
          <w:szCs w:val="24"/>
          <w:bdr w:val="none" w:sz="0" w:space="0" w:color="auto" w:frame="1"/>
        </w:rPr>
        <w:t>Management Research</w:t>
      </w:r>
      <w:r w:rsidRPr="00B622DA">
        <w:rPr>
          <w:rFonts w:ascii="Times New Roman" w:eastAsia="Times New Roman" w:hAnsi="Times New Roman" w:cs="Times New Roman"/>
          <w:color w:val="000000"/>
          <w:sz w:val="24"/>
          <w:szCs w:val="24"/>
          <w:bdr w:val="none" w:sz="0" w:space="0" w:color="auto" w:frame="1"/>
        </w:rPr>
        <w:t>, 4th edition, London: SAGE Publications</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Feldman, D. C. (1991). Repatriate moves as career transitions. Human Resource Management Review, 1, 163−178.</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r w:rsidRPr="00B622DA">
        <w:rPr>
          <w:rFonts w:ascii="Times New Roman" w:eastAsia="Times New Roman" w:hAnsi="Times New Roman" w:cs="Times New Roman"/>
          <w:color w:val="000000"/>
          <w:sz w:val="24"/>
          <w:szCs w:val="24"/>
        </w:rPr>
        <w:t xml:space="preserve">Freeman, S. &amp; S. Lindsay, (2012), The Effect of Ethnic Diversity on Expatriate Managers </w:t>
      </w:r>
      <w:proofErr w:type="gramStart"/>
      <w:r w:rsidRPr="00B622DA">
        <w:rPr>
          <w:rFonts w:ascii="Times New Roman" w:eastAsia="Times New Roman" w:hAnsi="Times New Roman" w:cs="Times New Roman"/>
          <w:color w:val="000000"/>
          <w:sz w:val="24"/>
          <w:szCs w:val="24"/>
        </w:rPr>
        <w:t>In</w:t>
      </w:r>
      <w:proofErr w:type="gramEnd"/>
      <w:r w:rsidRPr="00B622DA">
        <w:rPr>
          <w:rFonts w:ascii="Times New Roman" w:eastAsia="Times New Roman" w:hAnsi="Times New Roman" w:cs="Times New Roman"/>
          <w:color w:val="000000"/>
          <w:sz w:val="24"/>
          <w:szCs w:val="24"/>
        </w:rPr>
        <w:t xml:space="preserve"> Their Host Country, </w:t>
      </w:r>
      <w:r w:rsidRPr="00B622DA">
        <w:rPr>
          <w:rFonts w:ascii="Times New Roman" w:eastAsia="Times New Roman" w:hAnsi="Times New Roman" w:cs="Times New Roman"/>
          <w:i/>
          <w:iCs/>
          <w:color w:val="000000"/>
          <w:sz w:val="24"/>
          <w:szCs w:val="24"/>
        </w:rPr>
        <w:t>International Business Review</w:t>
      </w:r>
      <w:r w:rsidRPr="00B622DA">
        <w:rPr>
          <w:rFonts w:ascii="Times New Roman" w:eastAsia="Times New Roman" w:hAnsi="Times New Roman" w:cs="Times New Roman"/>
          <w:color w:val="000000"/>
          <w:sz w:val="24"/>
          <w:szCs w:val="24"/>
        </w:rPr>
        <w:t xml:space="preserve"> 21(1) pp.253-268.</w:t>
      </w:r>
    </w:p>
    <w:p w:rsidR="00B622DA" w:rsidRPr="00B622DA" w:rsidRDefault="00B622DA" w:rsidP="00B622DA">
      <w:pPr>
        <w:spacing w:after="0" w:line="240" w:lineRule="auto"/>
        <w:rPr>
          <w:rFonts w:ascii="Times New Roman" w:eastAsia="Times New Roman" w:hAnsi="Times New Roman" w:cs="Times New Roman"/>
          <w:sz w:val="24"/>
          <w:szCs w:val="24"/>
        </w:rPr>
      </w:pPr>
    </w:p>
    <w:p w:rsidR="00B622DA" w:rsidRPr="00B622DA" w:rsidRDefault="00B622DA" w:rsidP="00B622DA">
      <w:pPr>
        <w:spacing w:before="100" w:beforeAutospacing="1" w:after="100" w:afterAutospacing="1" w:line="240" w:lineRule="auto"/>
        <w:rPr>
          <w:rFonts w:ascii="Times New Roman" w:eastAsia="Times New Roman" w:hAnsi="Times New Roman" w:cs="Times New Roman"/>
          <w:sz w:val="24"/>
          <w:szCs w:val="24"/>
        </w:rPr>
      </w:pPr>
      <w:proofErr w:type="spellStart"/>
      <w:r w:rsidRPr="00B622DA">
        <w:rPr>
          <w:rFonts w:ascii="Times New Roman" w:eastAsia="Times New Roman" w:hAnsi="Times New Roman" w:cs="Times New Roman"/>
          <w:color w:val="000000"/>
          <w:sz w:val="24"/>
          <w:szCs w:val="24"/>
        </w:rPr>
        <w:t>Okpara</w:t>
      </w:r>
      <w:proofErr w:type="spellEnd"/>
      <w:r w:rsidRPr="00B622DA">
        <w:rPr>
          <w:rFonts w:ascii="Times New Roman" w:eastAsia="Times New Roman" w:hAnsi="Times New Roman" w:cs="Times New Roman"/>
          <w:color w:val="000000"/>
          <w:sz w:val="24"/>
          <w:szCs w:val="24"/>
        </w:rPr>
        <w:t xml:space="preserve">, J.O. &amp; J.D. </w:t>
      </w:r>
      <w:proofErr w:type="spellStart"/>
      <w:r w:rsidRPr="00B622DA">
        <w:rPr>
          <w:rFonts w:ascii="Times New Roman" w:eastAsia="Times New Roman" w:hAnsi="Times New Roman" w:cs="Times New Roman"/>
          <w:color w:val="000000"/>
          <w:sz w:val="24"/>
          <w:szCs w:val="24"/>
        </w:rPr>
        <w:t>Kabongo</w:t>
      </w:r>
      <w:proofErr w:type="spellEnd"/>
      <w:r w:rsidRPr="00B622DA">
        <w:rPr>
          <w:rFonts w:ascii="Times New Roman" w:eastAsia="Times New Roman" w:hAnsi="Times New Roman" w:cs="Times New Roman"/>
          <w:color w:val="000000"/>
          <w:sz w:val="24"/>
          <w:szCs w:val="24"/>
        </w:rPr>
        <w:t xml:space="preserve">, (2011), Cross-Cultural Training and Expatriate Adjustment: A Study of Western Expatriates in Nigeria, </w:t>
      </w:r>
      <w:r w:rsidRPr="00B622DA">
        <w:rPr>
          <w:rFonts w:ascii="Times New Roman" w:eastAsia="Times New Roman" w:hAnsi="Times New Roman" w:cs="Times New Roman"/>
          <w:i/>
          <w:iCs/>
          <w:color w:val="000000"/>
          <w:sz w:val="24"/>
          <w:szCs w:val="24"/>
        </w:rPr>
        <w:t xml:space="preserve">Journal of World Business </w:t>
      </w:r>
      <w:r w:rsidRPr="00B622DA">
        <w:rPr>
          <w:rFonts w:ascii="Times New Roman" w:eastAsia="Times New Roman" w:hAnsi="Times New Roman" w:cs="Times New Roman"/>
          <w:color w:val="000000"/>
          <w:sz w:val="24"/>
          <w:szCs w:val="24"/>
        </w:rPr>
        <w:t>46(1) pp.22-30</w:t>
      </w:r>
    </w:p>
    <w:p w:rsidR="00B622DA" w:rsidRPr="00B622DA" w:rsidRDefault="00B622DA" w:rsidP="00B622DA">
      <w:pPr>
        <w:pBdr>
          <w:top w:val="single" w:sz="6" w:space="1" w:color="auto"/>
        </w:pBdr>
        <w:spacing w:after="0" w:line="240" w:lineRule="auto"/>
        <w:jc w:val="center"/>
        <w:rPr>
          <w:rFonts w:ascii="Arial" w:eastAsia="Times New Roman" w:hAnsi="Arial" w:cs="Arial"/>
          <w:vanish/>
          <w:sz w:val="16"/>
          <w:szCs w:val="16"/>
        </w:rPr>
      </w:pPr>
      <w:r w:rsidRPr="00B622DA">
        <w:rPr>
          <w:rFonts w:ascii="Arial" w:eastAsia="Times New Roman" w:hAnsi="Arial" w:cs="Arial"/>
          <w:vanish/>
          <w:sz w:val="16"/>
          <w:szCs w:val="16"/>
        </w:rPr>
        <w:t>Bottom of Form</w:t>
      </w:r>
    </w:p>
    <w:p w:rsidR="00DE49E4" w:rsidRDefault="00DE49E4"/>
    <w:sectPr w:rsidR="00DE49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2DA"/>
    <w:rsid w:val="007C5ADE"/>
    <w:rsid w:val="00B622DA"/>
    <w:rsid w:val="00DE4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0D5F1E-C1F2-4905-A408-D351542D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profilecardavatarthumb">
    <w:name w:val="profilecardavatarthumb"/>
    <w:basedOn w:val="DefaultParagraphFont"/>
    <w:rsid w:val="00B622DA"/>
  </w:style>
  <w:style w:type="character" w:styleId="Hyperlink">
    <w:name w:val="Hyperlink"/>
    <w:basedOn w:val="DefaultParagraphFont"/>
    <w:uiPriority w:val="99"/>
    <w:semiHidden/>
    <w:unhideWhenUsed/>
    <w:rsid w:val="00B622DA"/>
    <w:rPr>
      <w:color w:val="0000FF"/>
      <w:u w:val="single"/>
    </w:rPr>
  </w:style>
  <w:style w:type="paragraph" w:styleId="z-TopofForm">
    <w:name w:val="HTML Top of Form"/>
    <w:basedOn w:val="Normal"/>
    <w:next w:val="Normal"/>
    <w:link w:val="z-TopofFormChar"/>
    <w:hidden/>
    <w:uiPriority w:val="99"/>
    <w:semiHidden/>
    <w:unhideWhenUsed/>
    <w:rsid w:val="00B622D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622DA"/>
    <w:rPr>
      <w:rFonts w:ascii="Arial" w:eastAsia="Times New Roman" w:hAnsi="Arial" w:cs="Arial"/>
      <w:vanish/>
      <w:sz w:val="16"/>
      <w:szCs w:val="16"/>
    </w:rPr>
  </w:style>
  <w:style w:type="paragraph" w:styleId="NormalWeb">
    <w:name w:val="Normal (Web)"/>
    <w:basedOn w:val="Normal"/>
    <w:uiPriority w:val="99"/>
    <w:semiHidden/>
    <w:unhideWhenUsed/>
    <w:rsid w:val="00B622DA"/>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B622DA"/>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622DA"/>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92021">
      <w:bodyDiv w:val="1"/>
      <w:marLeft w:val="0"/>
      <w:marRight w:val="0"/>
      <w:marTop w:val="0"/>
      <w:marBottom w:val="0"/>
      <w:divBdr>
        <w:top w:val="none" w:sz="0" w:space="0" w:color="auto"/>
        <w:left w:val="none" w:sz="0" w:space="0" w:color="auto"/>
        <w:bottom w:val="none" w:sz="0" w:space="0" w:color="auto"/>
        <w:right w:val="none" w:sz="0" w:space="0" w:color="auto"/>
      </w:divBdr>
      <w:divsChild>
        <w:div w:id="1231647295">
          <w:marLeft w:val="0"/>
          <w:marRight w:val="0"/>
          <w:marTop w:val="0"/>
          <w:marBottom w:val="0"/>
          <w:divBdr>
            <w:top w:val="none" w:sz="0" w:space="0" w:color="auto"/>
            <w:left w:val="none" w:sz="0" w:space="0" w:color="auto"/>
            <w:bottom w:val="none" w:sz="0" w:space="0" w:color="auto"/>
            <w:right w:val="none" w:sz="0" w:space="0" w:color="auto"/>
          </w:divBdr>
          <w:divsChild>
            <w:div w:id="1918514582">
              <w:marLeft w:val="0"/>
              <w:marRight w:val="0"/>
              <w:marTop w:val="0"/>
              <w:marBottom w:val="0"/>
              <w:divBdr>
                <w:top w:val="none" w:sz="0" w:space="0" w:color="auto"/>
                <w:left w:val="none" w:sz="0" w:space="0" w:color="auto"/>
                <w:bottom w:val="none" w:sz="0" w:space="0" w:color="auto"/>
                <w:right w:val="none" w:sz="0" w:space="0" w:color="auto"/>
              </w:divBdr>
              <w:divsChild>
                <w:div w:id="1695111751">
                  <w:marLeft w:val="0"/>
                  <w:marRight w:val="0"/>
                  <w:marTop w:val="0"/>
                  <w:marBottom w:val="0"/>
                  <w:divBdr>
                    <w:top w:val="none" w:sz="0" w:space="0" w:color="auto"/>
                    <w:left w:val="none" w:sz="0" w:space="0" w:color="auto"/>
                    <w:bottom w:val="none" w:sz="0" w:space="0" w:color="auto"/>
                    <w:right w:val="none" w:sz="0" w:space="0" w:color="auto"/>
                  </w:divBdr>
                </w:div>
              </w:divsChild>
            </w:div>
            <w:div w:id="1562331359">
              <w:marLeft w:val="0"/>
              <w:marRight w:val="0"/>
              <w:marTop w:val="0"/>
              <w:marBottom w:val="0"/>
              <w:divBdr>
                <w:top w:val="none" w:sz="0" w:space="0" w:color="auto"/>
                <w:left w:val="none" w:sz="0" w:space="0" w:color="auto"/>
                <w:bottom w:val="none" w:sz="0" w:space="0" w:color="auto"/>
                <w:right w:val="none" w:sz="0" w:space="0" w:color="auto"/>
              </w:divBdr>
              <w:divsChild>
                <w:div w:id="1642614251">
                  <w:marLeft w:val="0"/>
                  <w:marRight w:val="0"/>
                  <w:marTop w:val="0"/>
                  <w:marBottom w:val="0"/>
                  <w:divBdr>
                    <w:top w:val="none" w:sz="0" w:space="0" w:color="auto"/>
                    <w:left w:val="none" w:sz="0" w:space="0" w:color="auto"/>
                    <w:bottom w:val="none" w:sz="0" w:space="0" w:color="auto"/>
                    <w:right w:val="none" w:sz="0" w:space="0" w:color="auto"/>
                  </w:divBdr>
                </w:div>
              </w:divsChild>
            </w:div>
            <w:div w:id="784664565">
              <w:marLeft w:val="0"/>
              <w:marRight w:val="0"/>
              <w:marTop w:val="0"/>
              <w:marBottom w:val="0"/>
              <w:divBdr>
                <w:top w:val="none" w:sz="0" w:space="0" w:color="auto"/>
                <w:left w:val="none" w:sz="0" w:space="0" w:color="auto"/>
                <w:bottom w:val="none" w:sz="0" w:space="0" w:color="auto"/>
                <w:right w:val="none" w:sz="0" w:space="0" w:color="auto"/>
              </w:divBdr>
            </w:div>
          </w:divsChild>
        </w:div>
        <w:div w:id="1917936410">
          <w:marLeft w:val="0"/>
          <w:marRight w:val="0"/>
          <w:marTop w:val="0"/>
          <w:marBottom w:val="0"/>
          <w:divBdr>
            <w:top w:val="none" w:sz="0" w:space="0" w:color="auto"/>
            <w:left w:val="none" w:sz="0" w:space="0" w:color="auto"/>
            <w:bottom w:val="none" w:sz="0" w:space="0" w:color="auto"/>
            <w:right w:val="none" w:sz="0" w:space="0" w:color="auto"/>
          </w:divBdr>
          <w:divsChild>
            <w:div w:id="654843112">
              <w:marLeft w:val="0"/>
              <w:marRight w:val="0"/>
              <w:marTop w:val="0"/>
              <w:marBottom w:val="0"/>
              <w:divBdr>
                <w:top w:val="none" w:sz="0" w:space="0" w:color="auto"/>
                <w:left w:val="none" w:sz="0" w:space="0" w:color="auto"/>
                <w:bottom w:val="none" w:sz="0" w:space="0" w:color="auto"/>
                <w:right w:val="none" w:sz="0" w:space="0" w:color="auto"/>
              </w:divBdr>
              <w:divsChild>
                <w:div w:id="1821649116">
                  <w:marLeft w:val="0"/>
                  <w:marRight w:val="0"/>
                  <w:marTop w:val="0"/>
                  <w:marBottom w:val="0"/>
                  <w:divBdr>
                    <w:top w:val="none" w:sz="0" w:space="0" w:color="auto"/>
                    <w:left w:val="none" w:sz="0" w:space="0" w:color="auto"/>
                    <w:bottom w:val="none" w:sz="0" w:space="0" w:color="auto"/>
                    <w:right w:val="none" w:sz="0" w:space="0" w:color="auto"/>
                  </w:divBdr>
                  <w:divsChild>
                    <w:div w:id="191504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1058</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2016-07-30T05:53:00Z</dcterms:created>
  <dcterms:modified xsi:type="dcterms:W3CDTF">2016-07-30T05:57:00Z</dcterms:modified>
</cp:coreProperties>
</file>