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Notes: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Investment policy is a set of principles applied in managing investments. It involves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Investment objectives and risk tolerance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Asset allocation and rebalancing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Permissible and prohibited instruments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Selection of investment professionals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Reporting requirements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Policy review procedures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The Board of Directors is responsible for policy development and implementation.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Investment policy statements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Elements of an investment policy statement: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Intro to the organization and the environment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Roles and responsibilities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Investment (spending) policies re: risk tolerance, investment objectives, etc.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Asset allocation guidelines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Manager, consultant, custodial selection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Evaluation benchmarks and reporting procedures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Issue resolution and policy review process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Policy issues and statements differ between short-term and long-term investments.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Short term investment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Investment horizon within one year.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Purpose: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Generate returns on current assets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Meet cash needs for desynchronized cash flows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Work as a rainy day fund for unexpected events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Primary consideration is safety and liquidity, followed by yield.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Benefits from a cash-flow forecast system: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Amount and duration of investing liquidity and operating reserves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Two types of risks involved: default risk and market risk.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</w:t>
      </w:r>
      <w:r>
        <w:rPr>
          <w:rStyle w:val="Strong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Default risk</w:t>
      </w:r>
      <w:r>
        <w:rPr>
          <w:rFonts w:ascii="Helvetica" w:hAnsi="Helvetica" w:cs="Helvetica"/>
          <w:color w:val="3D3D3D"/>
          <w:sz w:val="21"/>
          <w:szCs w:val="21"/>
        </w:rPr>
        <w:t xml:space="preserve"> relates to the credit quality or safety of the security &amp; the issuing institution.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Credit quality is obtainable from rating agencies.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Standard &amp; Poor's, Moody's, and Fitch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Bank deposits are insured through Federal Deposit Insurance Corporation (FDIC)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U.S. treasuries have the highest credit quality ratings.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Nonprofits need to know the real credit quality not solely rely on ratings.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Short term investment vehicles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Key short-term instruments include: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Savings and money market accounts (FDIC insured)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Certificates of deposit (CDs) (FDIC insured)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U.S. Treasury securities and agency securities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Commercial paper, repurchase agreements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Money market mutual funds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Pros and cons for each instrument: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Bank deposits: safe, liquid, but low yield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US. Treasuries: safe, liquid, mod yield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Money market funds: liquid, mod yield, flexible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Others need large investment funds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Long term investment vehicles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Investing in more than one year and involving primarily: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endowment, pension, and self-insurance funds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lastRenderedPageBreak/>
        <w:t>•        Three types of endowment funds: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true endowments, term endowments, and quasi endowments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True endowment funds are donor-restricted funds invested for perpetuity with regular current spending to support programs.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Endowment funds have grown dramatically in recent years.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Some university endowments exceed $30 billion, contributing significantly to operating and capital budgets.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Spending Policy is a unique concern in endowment management.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Measured by spending rate or spending amount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Based on estimated investment returns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Income - interest and dividends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Total return - sum of income and capital appreciation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Portion of assets averaged over past 3 to 5 years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Issues (mission and money):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Income - spending interferes with investment decisions.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Total return - can disrupt operation.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Asset - can deplete assets in economic downturns.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Investment policy for endowment differs from that of liquidity or operating reserves.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Purpose: long-term growth and total returns.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Focus: risk management as opposed to risk aversion. For an investment security, high expected returns are related to high risks - no free lunch.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Theoretical foundation: Modern Portfolio Theory.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Expected return: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Expected returns are affected by asset allocation.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Historically, stocks generate more returns than bonds.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Traditional asset allocation: 60/40, 70/30, and 80/20 between bonds and stocks, with ascending order of higher risks and higher expected returns.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Given a required spending rate, you can calculate the asset allocation to meet the required returns.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} Example: What asset allocation is needed to provide a 5% spending for your endowment program if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inflation rate =2%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expected return: 10% for equity, and 2% for bonds ?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solution: You can find the asset allocation by solving the following equation: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                           10% * </w:t>
      </w:r>
      <w:r>
        <w:rPr>
          <w:rStyle w:val="Emphasis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X</w:t>
      </w:r>
      <w:r>
        <w:rPr>
          <w:rFonts w:ascii="Helvetica" w:hAnsi="Helvetica" w:cs="Helvetica"/>
          <w:color w:val="3D3D3D"/>
          <w:sz w:val="21"/>
          <w:szCs w:val="21"/>
        </w:rPr>
        <w:t xml:space="preserve"> + 2% * (1 - </w:t>
      </w:r>
      <w:r>
        <w:rPr>
          <w:rStyle w:val="Emphasis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X</w:t>
      </w:r>
      <w:r>
        <w:rPr>
          <w:rFonts w:ascii="Helvetica" w:hAnsi="Helvetica" w:cs="Helvetica"/>
          <w:color w:val="3D3D3D"/>
          <w:sz w:val="21"/>
          <w:szCs w:val="21"/>
        </w:rPr>
        <w:t>) = 5% + 2%.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 where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x = percentage of stocks/equity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•        1 - </w:t>
      </w:r>
      <w:r>
        <w:rPr>
          <w:rStyle w:val="Emphasis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X</w:t>
      </w:r>
      <w:r>
        <w:rPr>
          <w:rFonts w:ascii="Helvetica" w:hAnsi="Helvetica" w:cs="Helvetica"/>
          <w:color w:val="3D3D3D"/>
          <w:sz w:val="21"/>
          <w:szCs w:val="21"/>
        </w:rPr>
        <w:t xml:space="preserve"> = percentage of bonds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Solving the equation: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                                         8% * </w:t>
      </w:r>
      <w:r>
        <w:rPr>
          <w:rStyle w:val="Emphasis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X</w:t>
      </w:r>
      <w:r>
        <w:rPr>
          <w:rFonts w:ascii="Helvetica" w:hAnsi="Helvetica" w:cs="Helvetica"/>
          <w:color w:val="3D3D3D"/>
          <w:sz w:val="21"/>
          <w:szCs w:val="21"/>
        </w:rPr>
        <w:t xml:space="preserve"> = 5%,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Style w:val="Emphasis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                                         X</w:t>
      </w:r>
      <w:r>
        <w:rPr>
          <w:rFonts w:ascii="Helvetica" w:hAnsi="Helvetica" w:cs="Helvetica"/>
          <w:color w:val="3D3D3D"/>
          <w:sz w:val="21"/>
          <w:szCs w:val="21"/>
        </w:rPr>
        <w:t xml:space="preserve"> = 5/8 = 62.5%, and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                                         100% </w:t>
      </w:r>
      <w:r>
        <w:rPr>
          <w:rStyle w:val="Emphasis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- X=</w:t>
      </w:r>
      <w:r>
        <w:rPr>
          <w:rFonts w:ascii="Helvetica" w:hAnsi="Helvetica" w:cs="Helvetica"/>
          <w:color w:val="3D3D3D"/>
          <w:sz w:val="21"/>
          <w:szCs w:val="21"/>
        </w:rPr>
        <w:t>100%</w:t>
      </w:r>
      <w:r>
        <w:rPr>
          <w:rStyle w:val="Emphasis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- 62.5%=</w:t>
      </w:r>
      <w:r>
        <w:rPr>
          <w:rFonts w:ascii="Helvetica" w:hAnsi="Helvetica" w:cs="Helvetica"/>
          <w:color w:val="3D3D3D"/>
          <w:sz w:val="21"/>
          <w:szCs w:val="21"/>
        </w:rPr>
        <w:t>37.5%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The nonprofit should invest approximately 62.5 percent in equity and 37.5 percent in fixed income to generate 7 percent total return as required.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Style w:val="Strong"/>
          <w:rFonts w:ascii="inherit" w:hAnsi="inherit" w:cs="Helvetica"/>
          <w:color w:val="3D3D3D"/>
          <w:sz w:val="21"/>
          <w:szCs w:val="21"/>
          <w:bdr w:val="none" w:sz="0" w:space="0" w:color="auto" w:frame="1"/>
        </w:rPr>
        <w:t>MPT</w:t>
      </w:r>
      <w:r>
        <w:rPr>
          <w:rFonts w:ascii="Helvetica" w:hAnsi="Helvetica" w:cs="Helvetica"/>
          <w:color w:val="3D3D3D"/>
          <w:sz w:val="21"/>
          <w:szCs w:val="21"/>
        </w:rPr>
        <w:t>: Although a security's risk is associated with its expected return, part of the risk for a group of investments, a portfolio, can be reduced by diversification.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Two types of risks based on MPT: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Systematic risks - Market risks where the prices of all securities decrease or increase simultaneously. Cannot be affected by diversification.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lastRenderedPageBreak/>
        <w:t>•        Unsystematic risks - Default risk of a specific corporation or institution. Can be reduced by diversification.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A portfolio of securities with negative or no correlations can reduce or eliminate unsystematic risk. Free lunch.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 xml:space="preserve">Long term investment instruments 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Traditional long-term investment securities: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Stocks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Bonds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Alternative investment vehicles: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Real estate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Private equity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Natural resources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Hedge funds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Derivatives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To increase total return, the proportion of alternative investments are trending higher in recent years.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Alternative investment and caution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Recent trend for large endowment funds - alternative investment.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High returns, given the inclusion of high risk assets and through diversification in normal years.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Major losses, during economic downturn, when all assets down, systematic downturn - diversification cannot reduce systematic risk.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Yale University Endowment lost 25% in 2009, as a result of system downturn. It achieved an 8.9% total return in ten years ending June 30, 2010, however, relative to -0.7% for domestic stocks and 6.5% for domestic bonds in the same period.</w:t>
      </w:r>
    </w:p>
    <w:p w:rsidR="00804393" w:rsidRDefault="00804393" w:rsidP="00804393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3D3D3D"/>
          <w:sz w:val="21"/>
          <w:szCs w:val="21"/>
        </w:rPr>
      </w:pPr>
      <w:r>
        <w:rPr>
          <w:rFonts w:ascii="Helvetica" w:hAnsi="Helvetica" w:cs="Helvetica"/>
          <w:color w:val="3D3D3D"/>
          <w:sz w:val="21"/>
          <w:szCs w:val="21"/>
        </w:rPr>
        <w:t>•        A cadre of full-time, well-trained, and connected professionals with large endowment funds is required.</w:t>
      </w:r>
    </w:p>
    <w:p w:rsidR="009566DA" w:rsidRDefault="009566DA">
      <w:bookmarkStart w:id="0" w:name="_GoBack"/>
      <w:bookmarkEnd w:id="0"/>
    </w:p>
    <w:sectPr w:rsidR="00956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93"/>
    <w:rsid w:val="00804393"/>
    <w:rsid w:val="0095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4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4393"/>
    <w:rPr>
      <w:b/>
      <w:bCs/>
    </w:rPr>
  </w:style>
  <w:style w:type="character" w:styleId="Emphasis">
    <w:name w:val="Emphasis"/>
    <w:basedOn w:val="DefaultParagraphFont"/>
    <w:uiPriority w:val="20"/>
    <w:qFormat/>
    <w:rsid w:val="008043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4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4393"/>
    <w:rPr>
      <w:b/>
      <w:bCs/>
    </w:rPr>
  </w:style>
  <w:style w:type="character" w:styleId="Emphasis">
    <w:name w:val="Emphasis"/>
    <w:basedOn w:val="DefaultParagraphFont"/>
    <w:uiPriority w:val="20"/>
    <w:qFormat/>
    <w:rsid w:val="008043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1035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2020-04-25T06:56:00Z</dcterms:created>
  <dcterms:modified xsi:type="dcterms:W3CDTF">2020-04-25T06:57:00Z</dcterms:modified>
</cp:coreProperties>
</file>